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8.png" ContentType="image/png"/>
  <Override PartName="/word/media/rId38.png" ContentType="image/png"/>
  <Override PartName="/word/media/rId29.png" ContentType="image/png"/>
  <Override PartName="/word/media/rId66.png" ContentType="image/png"/>
  <Override PartName="/word/media/rId52.png" ContentType="image/png"/>
  <Override PartName="/word/media/rId61.png" ContentType="image/png"/>
  <Override PartName="/word/media/rId57.png" ContentType="image/png"/>
  <Override PartName="/word/media/rId74.png" ContentType="image/png"/>
  <Override PartName="/word/media/rId69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Solutions Architecture Document — Heimdall</w:t>
      </w:r>
    </w:p>
    <w:p>
      <w:pPr>
        <w:pStyle w:val="Author"/>
      </w:pPr>
      <w:r>
        <w:t xml:space="preserve">Veldris Ltd</w:t>
      </w:r>
    </w:p>
    <w:p>
      <w:pPr>
        <w:pStyle w:val="FirstParagraph"/>
      </w:pPr>
      <w:r>
        <w:rPr>
          <w:iCs/>
          <w:i/>
        </w:rPr>
        <w:t xml:space="preserve">Operational Fusion — a post-quantum, AI-assisted operational-fusion platform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Veldris Ltd (company no. 17366869)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2026-07-02 ·</w:t>
      </w:r>
      <w:r>
        <w:t xml:space="preserve"> </w:t>
      </w:r>
      <w:r>
        <w:rPr>
          <w:bCs/>
          <w:b/>
        </w:rPr>
        <w:t xml:space="preserve">Classification:</w:t>
      </w:r>
      <w:r>
        <w:t xml:space="preserve"> </w:t>
      </w:r>
      <w:r>
        <w:t xml:space="preserve">PUBLIC, published with the Midgard repository</w:t>
      </w:r>
      <w:r>
        <w:br/>
      </w:r>
      <w:r>
        <w:rPr>
          <w:bCs/>
          <w:b/>
        </w:rPr>
        <w:t xml:space="preserve">Document type:</w:t>
      </w:r>
      <w:r>
        <w:t xml:space="preserve"> </w:t>
      </w:r>
      <w:r>
        <w:t xml:space="preserve">Forward-looking design specification (greenfield). Provenance tags:</w:t>
      </w:r>
      <w:r>
        <w:t xml:space="preserve"> </w:t>
      </w:r>
      <w:r>
        <w:rPr>
          <w:rStyle w:val="VerbatimChar"/>
        </w:rPr>
        <w:t xml:space="preserve">[DD-*]</w:t>
      </w:r>
      <w:r>
        <w:t xml:space="preserve"> </w:t>
      </w:r>
      <w:r>
        <w:t xml:space="preserve">design driver,</w:t>
      </w:r>
      <w:r>
        <w:t xml:space="preserve"> </w:t>
      </w:r>
      <w:r>
        <w:rPr>
          <w:rStyle w:val="VerbatimChar"/>
        </w:rPr>
        <w:t xml:space="preserve">[FR-*]/[NFR-*]</w:t>
      </w:r>
      <w:r>
        <w:t xml:space="preserve"> </w:t>
      </w:r>
      <w:r>
        <w:t xml:space="preserve">requirement,</w:t>
      </w:r>
      <w:r>
        <w:t xml:space="preserve"> </w:t>
      </w:r>
      <w:r>
        <w:rPr>
          <w:rStyle w:val="VerbatimChar"/>
        </w:rPr>
        <w:t xml:space="preserve">[STD:*]</w:t>
      </w:r>
      <w:r>
        <w:t xml:space="preserve"> </w:t>
      </w:r>
      <w:r>
        <w:t xml:space="preserve">external standard.</w:t>
      </w:r>
    </w:p>
    <w:p>
      <w:r>
        <w:pict>
          <v:rect style="width:0;height:1.5pt" o:hralign="center" o:hrstd="t" o:hr="t"/>
        </w:pict>
      </w:r>
    </w:p>
    <w:bookmarkStart w:id="22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Heimdall is the operational-fusion product of the Midgard suite. It is the warden of the enclosure boundary: it fuses many data feeds into a single, live operational picture, and drives AI-assisted decision workflows on top of it. Heimdall goes beyond established fusion platforms with native post-quantum encryption across all feeds and the common picture, and with decision intelligence served by the local Mimir layer (Mistral Small 3.2) instead of a hosted model — enabling operation in disconnected and air-gapped environments.</w:t>
      </w:r>
      <w:r>
        <w:t xml:space="preserve"> </w:t>
      </w:r>
      <w:r>
        <w:rPr>
          <w:rStyle w:val="VerbatimChar"/>
        </w:rPr>
        <w:t xml:space="preserve">[DD-1]</w:t>
      </w:r>
      <w:r>
        <w:t xml:space="preserve"> </w:t>
      </w:r>
      <w:r>
        <w:rPr>
          <w:rStyle w:val="VerbatimChar"/>
        </w:rPr>
        <w:t xml:space="preserve">[DD-3]</w:t>
      </w:r>
      <w:r>
        <w:t xml:space="preserve"> </w:t>
      </w:r>
      <w:r>
        <w:rPr>
          <w:rStyle w:val="VerbatimChar"/>
        </w:rPr>
        <w:t xml:space="preserve">[DD-4]</w:t>
      </w:r>
      <w:r>
        <w:t xml:space="preserve"> </w:t>
      </w:r>
      <w:r>
        <w:rPr>
          <w:rStyle w:val="VerbatimChar"/>
        </w:rPr>
        <w:t xml:space="preserve">[DD-7]</w:t>
      </w:r>
    </w:p>
    <w:p>
      <w:pPr>
        <w:pStyle w:val="BodyText"/>
      </w:pPr>
      <w:r>
        <w:t xml:space="preserve">This document is a</w:t>
      </w:r>
      <w:r>
        <w:t xml:space="preserve"> </w:t>
      </w:r>
      <w:r>
        <w:rPr>
          <w:bCs/>
          <w:b/>
        </w:rPr>
        <w:t xml:space="preserve">forward-looking design specification</w:t>
      </w:r>
      <w:r>
        <w:t xml:space="preserve">; every decision carries a provenance tag rather than a repository citation.</w:t>
      </w:r>
    </w:p>
    <w:p>
      <w:pPr>
        <w:pStyle w:val="BlockText"/>
      </w:pPr>
      <w:r>
        <w:rPr>
          <w:bCs/>
          <w:b/>
        </w:rPr>
        <w:t xml:space="preserve">Human-in-the-loop by design.</w:t>
      </w:r>
      <w:r>
        <w:t xml:space="preserve"> </w:t>
      </w:r>
      <w:r>
        <w:t xml:space="preserve">Heimdall provides decision support — fusion, classification, option generation, and workflow — with humans authorising any consequential action. AI assists; people decide.</w:t>
      </w:r>
      <w:r>
        <w:t xml:space="preserve"> </w:t>
      </w:r>
      <w:r>
        <w:rPr>
          <w:rStyle w:val="VerbatimChar"/>
        </w:rPr>
        <w:t xml:space="preserve">[NFR-AI-1]</w:t>
      </w:r>
      <w:r>
        <w:t xml:space="preserve"> </w:t>
      </w:r>
      <w:r>
        <w:rPr>
          <w:rStyle w:val="VerbatimChar"/>
        </w:rPr>
        <w:t xml:space="preserve">[DD-5]</w:t>
      </w:r>
    </w:p>
    <w:p>
      <w:pPr>
        <w:pStyle w:val="BlockText"/>
      </w:pPr>
      <w:r>
        <w:rPr>
          <w:bCs/>
          <w:b/>
        </w:rPr>
        <w:t xml:space="preserve">Standalone and composable.</w:t>
      </w:r>
      <w:r>
        <w:t xml:space="preserve"> </w:t>
      </w:r>
      <w:r>
        <w:t xml:space="preserve">Midgard + Heimdall delivers fusion and a common operating picture. With Mimir it gains AI classification and option generation; with Forge it consumes curated object feeds; Bifrost keeps it upgraded.</w:t>
      </w:r>
      <w:r>
        <w:t xml:space="preserve"> </w:t>
      </w:r>
      <w:r>
        <w:rPr>
          <w:rStyle w:val="VerbatimChar"/>
        </w:rPr>
        <w:t xml:space="preserve">[DD-6]</w:t>
      </w:r>
    </w:p>
    <w:bookmarkStart w:id="20" w:name="Xf803094d97e5dd41061954c1bb077bbeac2784f"/>
    <w:p>
      <w:pPr>
        <w:pStyle w:val="Heading3"/>
      </w:pPr>
      <w:r>
        <w:t xml:space="preserve">1.1 Top design facts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Multi-feed fusion</w:t>
      </w:r>
      <w:r>
        <w:t xml:space="preserve"> </w:t>
      </w:r>
      <w:r>
        <w:t xml:space="preserve">into one live, shared operational picture with layer toggles.</w:t>
      </w:r>
      <w:r>
        <w:t xml:space="preserve"> </w:t>
      </w:r>
      <w:r>
        <w:rPr>
          <w:rStyle w:val="VerbatimChar"/>
        </w:rPr>
        <w:t xml:space="preserve">[FR-H-1]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tracking + classification</w:t>
      </w:r>
      <w:r>
        <w:t xml:space="preserve"> </w:t>
      </w:r>
      <w:r>
        <w:t xml:space="preserve">over the object fabric.</w:t>
      </w:r>
      <w:r>
        <w:t xml:space="preserve"> </w:t>
      </w:r>
      <w:r>
        <w:rPr>
          <w:rStyle w:val="VerbatimChar"/>
        </w:rPr>
        <w:t xml:space="preserve">[FR-H-2]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AI-assisted option generation</w:t>
      </w:r>
      <w:r>
        <w:t xml:space="preserve"> </w:t>
      </w:r>
      <w:r>
        <w:t xml:space="preserve">(ranked courses of action) via local Mimir, advisory.</w:t>
      </w:r>
      <w:r>
        <w:t xml:space="preserve"> </w:t>
      </w:r>
      <w:r>
        <w:rPr>
          <w:rStyle w:val="VerbatimChar"/>
        </w:rPr>
        <w:t xml:space="preserve">[FR-H-4]</w:t>
      </w:r>
      <w:r>
        <w:t xml:space="preserve"> </w:t>
      </w:r>
      <w:r>
        <w:rPr>
          <w:rStyle w:val="VerbatimChar"/>
        </w:rPr>
        <w:t xml:space="preserve">[DD-4]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Human-gated action workflows</w:t>
      </w:r>
      <w:r>
        <w:t xml:space="preserve"> </w:t>
      </w:r>
      <w:r>
        <w:t xml:space="preserve">with full audit lineage.</w:t>
      </w:r>
      <w:r>
        <w:t xml:space="preserve"> </w:t>
      </w:r>
      <w:r>
        <w:rPr>
          <w:rStyle w:val="VerbatimChar"/>
        </w:rPr>
        <w:t xml:space="preserve">[FR-H-5]</w:t>
      </w:r>
      <w:r>
        <w:t xml:space="preserve"> </w:t>
      </w:r>
      <w:r>
        <w:rPr>
          <w:rStyle w:val="VerbatimChar"/>
        </w:rPr>
        <w:t xml:space="preserve">[NFR-AI-1]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PQ-native</w:t>
      </w:r>
      <w:r>
        <w:t xml:space="preserve"> </w:t>
      </w:r>
      <w:r>
        <w:t xml:space="preserve">feeds, picture, and inter-node sync.</w:t>
      </w:r>
      <w:r>
        <w:t xml:space="preserve"> </w:t>
      </w:r>
      <w:r>
        <w:rPr>
          <w:rStyle w:val="VerbatimChar"/>
        </w:rPr>
        <w:t xml:space="preserve">[NFR-PQ-1]</w:t>
      </w:r>
      <w:r>
        <w:t xml:space="preserve"> </w:t>
      </w:r>
      <w:r>
        <w:rPr>
          <w:rStyle w:val="VerbatimChar"/>
        </w:rPr>
        <w:t xml:space="preserve">[NFR-PQ-2]</w:t>
      </w:r>
    </w:p>
    <w:bookmarkEnd w:id="20"/>
    <w:bookmarkStart w:id="21" w:name="X994c07f3992b965b1514d07fbe41c14727d6d77"/>
    <w:p>
      <w:pPr>
        <w:pStyle w:val="Heading3"/>
      </w:pPr>
      <w:r>
        <w:t xml:space="preserve">1.2 Top design risks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Automation bias:</w:t>
      </w:r>
      <w:r>
        <w:t xml:space="preserve"> </w:t>
      </w:r>
      <w:r>
        <w:t xml:space="preserve">operators may over-trust AI options; mitigated by explainable, cited options + mandatory human authorisation.</w:t>
      </w:r>
      <w:r>
        <w:t xml:space="preserve"> </w:t>
      </w:r>
      <w:r>
        <w:rPr>
          <w:rStyle w:val="VerbatimChar"/>
        </w:rPr>
        <w:t xml:space="preserve">[NFR-AI-1]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Feed integrity:</w:t>
      </w:r>
      <w:r>
        <w:t xml:space="preserve"> </w:t>
      </w:r>
      <w:r>
        <w:t xml:space="preserve">spoofed feeds corrupt the picture; mitigated by PQ-authenticated feed sources.</w:t>
      </w:r>
      <w:r>
        <w:t xml:space="preserve"> </w:t>
      </w:r>
      <w:r>
        <w:rPr>
          <w:rStyle w:val="VerbatimChar"/>
        </w:rPr>
        <w:t xml:space="preserve">[NFR-PQ-3]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Latency at scale:</w:t>
      </w:r>
      <w:r>
        <w:t xml:space="preserve"> </w:t>
      </w:r>
      <w:r>
        <w:t xml:space="preserve">many high-rate feeds strain fusion; mitigated by streaming fusion + horizontal scale.</w:t>
      </w:r>
      <w:r>
        <w:t xml:space="preserve"> </w:t>
      </w:r>
      <w:r>
        <w:rPr>
          <w:rStyle w:val="VerbatimChar"/>
        </w:rPr>
        <w:t xml:space="preserve">[NFR-AVA-1]</w:t>
      </w:r>
    </w:p>
    <w:bookmarkEnd w:id="21"/>
    <w:bookmarkEnd w:id="22"/>
    <w:bookmarkStart w:id="27" w:name="X5a5138d138d02a985355a1330ca42279334c0d0"/>
    <w:p>
      <w:pPr>
        <w:pStyle w:val="Heading2"/>
      </w:pPr>
      <w:r>
        <w:t xml:space="preserve">2. Introduction &amp; Scope</w:t>
      </w:r>
    </w:p>
    <w:bookmarkStart w:id="23" w:name="X731e8393ba34aeafdc52bfcd0dc0d56ccf7dac8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To define Heimdall's target architecture: feed integration, fusion, entity tracking/classification, common operating picture, AI-assisted decision workflows, and dependencies on Midgard core and optional Mimir/Forge.</w:t>
      </w:r>
    </w:p>
    <w:bookmarkEnd w:id="23"/>
    <w:bookmarkStart w:id="24" w:name="X18d2637f11bda6f46d9d17115b969293d2c4804"/>
    <w:p>
      <w:pPr>
        <w:pStyle w:val="Heading3"/>
      </w:pPr>
      <w:r>
        <w:t xml:space="preserve">2.2 Audience</w:t>
      </w:r>
    </w:p>
    <w:p>
      <w:pPr>
        <w:numPr>
          <w:ilvl w:val="0"/>
          <w:numId w:val="1003"/>
        </w:numPr>
        <w:pStyle w:val="Compact"/>
      </w:pPr>
      <w:r>
        <w:t xml:space="preserve">Operations analysts and decision-makers.</w:t>
      </w:r>
    </w:p>
    <w:p>
      <w:pPr>
        <w:numPr>
          <w:ilvl w:val="0"/>
          <w:numId w:val="1003"/>
        </w:numPr>
        <w:pStyle w:val="Compact"/>
      </w:pPr>
      <w:r>
        <w:t xml:space="preserve">Integrators connecting feeds.</w:t>
      </w:r>
    </w:p>
    <w:p>
      <w:pPr>
        <w:numPr>
          <w:ilvl w:val="0"/>
          <w:numId w:val="1003"/>
        </w:numPr>
        <w:pStyle w:val="Compact"/>
      </w:pPr>
      <w:r>
        <w:t xml:space="preserve">Security and safety reviewers.</w:t>
      </w:r>
    </w:p>
    <w:bookmarkEnd w:id="24"/>
    <w:bookmarkStart w:id="25" w:name="X2b07f84a0807849aa21b2223fb7243252569a6f"/>
    <w:p>
      <w:pPr>
        <w:pStyle w:val="Heading3"/>
      </w:pPr>
      <w:r>
        <w:t xml:space="preserve">2.3 Scope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Feeds, fusion, tracking, classification, common picture, decision workflows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fabric internals (Midgard SAD)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Heimdall APIs/UI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internals (Mimir SAD); pipeline internals (Forge SAD)</w:t>
            </w:r>
          </w:p>
        </w:tc>
      </w:tr>
    </w:tbl>
    <w:bookmarkEnd w:id="25"/>
    <w:bookmarkStart w:id="26" w:name="Xca521fa7b23e856788bd148598650c31e045bde"/>
    <w:p>
      <w:pPr>
        <w:pStyle w:val="Heading3"/>
      </w:pPr>
      <w:r>
        <w:t xml:space="preserve">2.4 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Reasoning/AI product. Local, agentic, self-* generative AI on Mistral Small 3.2. Also the shared inference layer for the other products.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Heimdall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fusion product. Fuses feeds into a single operational picture with AI-assisted decision workflows.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Midgard's semantic + kinetic data layer: objects, properties, links (semantics) and actions, functions, dynamic security (kinetics).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Midgard trust boundary; the defended, sovereign space within which all products run.</w:t>
            </w:r>
          </w:p>
        </w:tc>
      </w:tr>
    </w:tbl>
    <w:bookmarkEnd w:id="26"/>
    <w:bookmarkEnd w:id="27"/>
    <w:bookmarkStart w:id="33" w:name="Xdc10dba2eb492756e0f1d2ce256311af70628b1"/>
    <w:p>
      <w:pPr>
        <w:pStyle w:val="Heading2"/>
      </w:pPr>
      <w:r>
        <w:t xml:space="preserve">3. Business &amp; Solution Context</w:t>
      </w:r>
    </w:p>
    <w:bookmarkStart w:id="28" w:name="X9f449b7410a6b31193bd3af6a87003e005a26f4"/>
    <w:p>
      <w:pPr>
        <w:pStyle w:val="Heading3"/>
      </w:pPr>
      <w:r>
        <w:t xml:space="preserve">3.1 Competitive positioning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Established platforms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 (design intent)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Multi-source single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Multi-feed single picture + PQ-authenticated feeds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classification + COA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Local-Mimir classification + ranked options</w:t>
            </w:r>
            <w:r>
              <w:t xml:space="preserve"> </w:t>
            </w:r>
            <w:r>
              <w:rPr>
                <w:rStyle w:val="VerbatimChar"/>
              </w:rPr>
              <w:t xml:space="preserve">[FR-H-4]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Human-in-the-loop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Human-gated actions, cited options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Cloud/classified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Air-gap capable, PQ-native</w:t>
            </w:r>
            <w:r>
              <w:t xml:space="preserve"> </w:t>
            </w:r>
            <w:r>
              <w:rPr>
                <w:rStyle w:val="VerbatimChar"/>
              </w:rPr>
              <w:t xml:space="preserve">[DD-7]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Proprietary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core</w:t>
            </w:r>
            <w:r>
              <w:t xml:space="preserve"> </w:t>
            </w:r>
            <w:r>
              <w:rPr>
                <w:rStyle w:val="VerbatimChar"/>
              </w:rPr>
              <w:t xml:space="preserve">[DD-2]</w:t>
            </w:r>
          </w:p>
        </w:tc>
      </w:tr>
    </w:tbl>
    <w:bookmarkEnd w:id="28"/>
    <w:bookmarkStart w:id="32" w:name="Xb7c258734623933bfa29689f49910b64519d15d"/>
    <w:p>
      <w:pPr>
        <w:pStyle w:val="Heading3"/>
      </w:pPr>
      <w:r>
        <w:t xml:space="preserve">3.2 System context (C4 L1)</w:t>
      </w:r>
    </w:p>
    <w:p>
      <w:pPr>
        <w:pStyle w:val="FirstParagraph"/>
      </w:pPr>
      <w:r>
        <w:drawing>
          <wp:inline>
            <wp:extent cx="6210300" cy="2657496"/>
            <wp:effectExtent b="0" l="0" r="0" t="0"/>
            <wp:docPr descr="Figure 3.1 — Heimdall system context within the enclosure." title="" id="30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c4_context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57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3.1 — Heimdall system context within the enclosure.</w:t>
      </w:r>
    </w:p>
    <w:bookmarkEnd w:id="32"/>
    <w:bookmarkEnd w:id="33"/>
    <w:bookmarkStart w:id="36" w:name="X326c43ecd37917b08c6110d805fda8388280480"/>
    <w:p>
      <w:pPr>
        <w:pStyle w:val="Heading2"/>
      </w:pPr>
      <w:r>
        <w:t xml:space="preserve">4. Architecture Drivers</w:t>
      </w:r>
    </w:p>
    <w:bookmarkStart w:id="34" w:name="Xead87117d9d8e991b8b031d64f7b74e6c6520f4"/>
    <w:p>
      <w:pPr>
        <w:pStyle w:val="Heading3"/>
      </w:pPr>
      <w:r>
        <w:t xml:space="preserve">4.1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and fuse multiple live feeds into one shared operational picture with layer control.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classify entities over time against the object fabric.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 feed sources with PQ signatures; reject unverified feeds.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AI-assisted, explainable, cited ranked options via local Mimir (advisory).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human-gated action workflows with full audit lineage.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FR-H-6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Synchronise the common picture across nodes/sites over PQ-mTLS.</w:t>
            </w:r>
          </w:p>
        </w:tc>
      </w:tr>
    </w:tbl>
    <w:bookmarkEnd w:id="34"/>
    <w:bookmarkStart w:id="35" w:name="X31538ce731fc06722ee75891b003a6c8c09978d"/>
    <w:p>
      <w:pPr>
        <w:pStyle w:val="Heading3"/>
      </w:pPr>
      <w:r>
        <w:t xml:space="preserve">4.2 Inherited NFRs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NFR-PQ-1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data-in-transit uses a hybrid TLS 1.3 handshake combining X25519 with ML-KEM-768 (Kyber) key agreement.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FIPS 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NFR-PQ-3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service-to-service and artefact-signing operations use ML-DSA (Dilithium) or SLH-DSA (SPHINCS+) signatures.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FIPS 204 / FIPS 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Role-, marking-, and purpose-based access control is enforced at the data and object layer, with full audit lineage.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STD:NIST AC-3 / AC-16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NFR-AVA-1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control-plane services target 99.9% availability; the platform supports zero-downtime rolling upgrades.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suite runs fully offline / air-gapped with no outbound network dependency for any core function.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NFR-AI-1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agentic action is traceable, evaluated against an Evals suite, and reversible or human-gated where it mutates state.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DD-5</w:t>
            </w:r>
          </w:p>
        </w:tc>
      </w:tr>
    </w:tbl>
    <w:bookmarkEnd w:id="35"/>
    <w:bookmarkEnd w:id="36"/>
    <w:bookmarkStart w:id="37" w:name="Xbdf53bec42f755086a6c9ee87a2f0504ffbc222"/>
    <w:p>
      <w:pPr>
        <w:pStyle w:val="Heading2"/>
      </w:pPr>
      <w:r>
        <w:t xml:space="preserve">5.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Streaming fusion engine over object fabric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[FR-H-1]</w:t>
            </w:r>
            <w:r>
              <w:t xml:space="preserve"> </w:t>
            </w:r>
            <w:r>
              <w:rPr>
                <w:rStyle w:val="VerbatimChar"/>
              </w:rPr>
              <w:t xml:space="preserve">[NFR-AVA-1]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PQ-signed feed sources; verify on ingest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[FR-H-3]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Mimir options: explainable, cited, advisory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[FR-H-4]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Human-gated workflow with audit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PQ-mTLS multi-node picture replication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[FR-H-6]</w:t>
            </w:r>
          </w:p>
        </w:tc>
      </w:tr>
    </w:tbl>
    <w:p>
      <w:pPr>
        <w:pStyle w:val="BlockText"/>
      </w:pPr>
      <w:r>
        <w:rPr>
          <w:bCs/>
          <w:b/>
        </w:rPr>
        <w:t xml:space="preserve">KDD — AI proposes, humans dispose.</w:t>
      </w:r>
      <w:r>
        <w:t xml:space="preserve"> </w:t>
      </w:r>
      <w:r>
        <w:t xml:space="preserve">Heimdall never auto-executes a consequential action; Mimir generates ranked, cited options and a human authorises. Every option and decision is audited.</w:t>
      </w:r>
      <w:r>
        <w:t xml:space="preserve"> </w:t>
      </w:r>
      <w:r>
        <w:rPr>
          <w:rStyle w:val="VerbatimChar"/>
        </w:rPr>
        <w:t xml:space="preserve">[NFR-AI-1]</w:t>
      </w:r>
      <w:r>
        <w:t xml:space="preserve"> </w:t>
      </w:r>
      <w:r>
        <w:rPr>
          <w:rStyle w:val="VerbatimChar"/>
        </w:rPr>
        <w:t xml:space="preserve">[FR-H-5]</w:t>
      </w:r>
    </w:p>
    <w:bookmarkEnd w:id="37"/>
    <w:bookmarkStart w:id="47" w:name="Xa830e2ee0cd6e6125b9476acf357d19c12a59f7"/>
    <w:p>
      <w:pPr>
        <w:pStyle w:val="Heading2"/>
      </w:pPr>
      <w:r>
        <w:t xml:space="preserve">6. Logical Architecture (C4 L2)</w:t>
      </w:r>
    </w:p>
    <w:p>
      <w:pPr>
        <w:pStyle w:val="FirstParagraph"/>
      </w:pPr>
      <w:r>
        <w:drawing>
          <wp:inline>
            <wp:extent cx="6210300" cy="2686131"/>
            <wp:effectExtent b="0" l="0" r="0" t="0"/>
            <wp:docPr descr="Figure 6.1 — Heimdall containers." title="" id="39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c4_container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861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6.1 — Heimdall containers.</w:t>
      </w:r>
    </w:p>
    <w:bookmarkStart w:id="41" w:name="X6d382c279eeacc6adee01ee5f3ec3852760afee"/>
    <w:p>
      <w:pPr>
        <w:pStyle w:val="Heading4"/>
      </w:pPr>
      <w:r>
        <w:t xml:space="preserve">6.1 Feed gateway</w:t>
      </w:r>
    </w:p>
    <w:p>
      <w:pPr>
        <w:pStyle w:val="FirstParagraph"/>
      </w:pPr>
      <w:r>
        <w:t xml:space="preserve">Ingests feeds; verifies PQ source signatures; normalises to fabric objects.</w:t>
      </w:r>
      <w:r>
        <w:t xml:space="preserve"> </w:t>
      </w:r>
      <w:r>
        <w:rPr>
          <w:rStyle w:val="VerbatimChar"/>
        </w:rPr>
        <w:t xml:space="preserve">[FR-H-1]</w:t>
      </w:r>
      <w:r>
        <w:t xml:space="preserve"> </w:t>
      </w:r>
      <w:r>
        <w:rPr>
          <w:rStyle w:val="VerbatimChar"/>
        </w:rPr>
        <w:t xml:space="preserve">[FR-H-3]</w:t>
      </w:r>
    </w:p>
    <w:bookmarkEnd w:id="41"/>
    <w:bookmarkStart w:id="42" w:name="Xb801c323ad74cee6bd917cd99a21c0bf572f6cc"/>
    <w:p>
      <w:pPr>
        <w:pStyle w:val="Heading4"/>
      </w:pPr>
      <w:r>
        <w:t xml:space="preserve">6.2 Fusion engine</w:t>
      </w:r>
    </w:p>
    <w:p>
      <w:pPr>
        <w:pStyle w:val="FirstParagraph"/>
      </w:pPr>
      <w:r>
        <w:t xml:space="preserve">Correlates feeds into tracked entities; maintains the live picture.</w:t>
      </w:r>
      <w:r>
        <w:t xml:space="preserve"> </w:t>
      </w:r>
      <w:r>
        <w:rPr>
          <w:rStyle w:val="VerbatimChar"/>
        </w:rPr>
        <w:t xml:space="preserve">[FR-H-1]</w:t>
      </w:r>
      <w:r>
        <w:t xml:space="preserve"> </w:t>
      </w:r>
      <w:r>
        <w:rPr>
          <w:rStyle w:val="VerbatimChar"/>
        </w:rPr>
        <w:t xml:space="preserve">[FR-H-2]</w:t>
      </w:r>
    </w:p>
    <w:bookmarkEnd w:id="42"/>
    <w:bookmarkStart w:id="43" w:name="X6ff2fd3b555270a1dce50010bcd2e61859950d9"/>
    <w:p>
      <w:pPr>
        <w:pStyle w:val="Heading4"/>
      </w:pPr>
      <w:r>
        <w:t xml:space="preserve">6.3 Classification service</w:t>
      </w:r>
    </w:p>
    <w:p>
      <w:pPr>
        <w:pStyle w:val="FirstParagraph"/>
      </w:pPr>
      <w:r>
        <w:t xml:space="preserve">Classifies/labels entities (rules + Mimir); writes back with provenance.</w:t>
      </w:r>
      <w:r>
        <w:t xml:space="preserve"> </w:t>
      </w:r>
      <w:r>
        <w:rPr>
          <w:rStyle w:val="VerbatimChar"/>
        </w:rPr>
        <w:t xml:space="preserve">[FR-H-2]</w:t>
      </w:r>
    </w:p>
    <w:bookmarkEnd w:id="43"/>
    <w:bookmarkStart w:id="44" w:name="X327dc795bdac83f11c4e094cfb1c5d69ce4d80f"/>
    <w:p>
      <w:pPr>
        <w:pStyle w:val="Heading4"/>
      </w:pPr>
      <w:r>
        <w:t xml:space="preserve">6.4 Decision-support service</w:t>
      </w:r>
    </w:p>
    <w:p>
      <w:pPr>
        <w:pStyle w:val="FirstParagraph"/>
      </w:pPr>
      <w:r>
        <w:t xml:space="preserve">Requests ranked, cited options from Mimir; presents them advisory.</w:t>
      </w:r>
      <w:r>
        <w:t xml:space="preserve"> </w:t>
      </w:r>
      <w:r>
        <w:rPr>
          <w:rStyle w:val="VerbatimChar"/>
        </w:rPr>
        <w:t xml:space="preserve">[FR-H-4]</w:t>
      </w:r>
    </w:p>
    <w:bookmarkEnd w:id="44"/>
    <w:bookmarkStart w:id="45" w:name="X4f80cce6ec36ca1e43ef1593794ae51208c3ff7"/>
    <w:p>
      <w:pPr>
        <w:pStyle w:val="Heading4"/>
      </w:pPr>
      <w:r>
        <w:t xml:space="preserve">6.5 Workflow engine</w:t>
      </w:r>
    </w:p>
    <w:p>
      <w:pPr>
        <w:pStyle w:val="FirstParagraph"/>
      </w:pPr>
      <w:r>
        <w:t xml:space="preserve">Human-gated action workflows with audit lineage.</w:t>
      </w:r>
      <w:r>
        <w:t xml:space="preserve"> </w:t>
      </w:r>
      <w:r>
        <w:rPr>
          <w:rStyle w:val="VerbatimChar"/>
        </w:rPr>
        <w:t xml:space="preserve">[FR-H-5]</w:t>
      </w:r>
    </w:p>
    <w:bookmarkEnd w:id="45"/>
    <w:bookmarkStart w:id="46" w:name="Xd0db31ca16f3a45d80eb369c527c21adf79f33d"/>
    <w:p>
      <w:pPr>
        <w:pStyle w:val="Heading4"/>
      </w:pPr>
      <w:r>
        <w:t xml:space="preserve">6.6 Picture sync</w:t>
      </w:r>
    </w:p>
    <w:p>
      <w:pPr>
        <w:pStyle w:val="FirstParagraph"/>
      </w:pPr>
      <w:r>
        <w:t xml:space="preserve">Replicates the common picture across nodes over PQ-mTLS.</w:t>
      </w:r>
      <w:r>
        <w:t xml:space="preserve"> </w:t>
      </w:r>
      <w:r>
        <w:rPr>
          <w:rStyle w:val="VerbatimChar"/>
        </w:rPr>
        <w:t xml:space="preserve">[FR-H-6]</w:t>
      </w:r>
    </w:p>
    <w:bookmarkEnd w:id="46"/>
    <w:bookmarkEnd w:id="47"/>
    <w:bookmarkStart w:id="51" w:name="X66378504a40517a33317350a38e9ad7f20a0757"/>
    <w:p>
      <w:pPr>
        <w:pStyle w:val="Heading2"/>
      </w:pPr>
      <w:r>
        <w:t xml:space="preserve">7. Component Architecture (C4 L3)</w:t>
      </w:r>
    </w:p>
    <w:p>
      <w:pPr>
        <w:pStyle w:val="FirstParagraph"/>
      </w:pPr>
      <w:r>
        <w:drawing>
          <wp:inline>
            <wp:extent cx="6210300" cy="712917"/>
            <wp:effectExtent b="0" l="0" r="0" t="0"/>
            <wp:docPr descr="Figure 7.1 — Fusion engine components." title="" id="49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c4_compon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712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7.1 — Fusion engine components.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Associates feed observations to entities.</w:t>
            </w:r>
            <w:r>
              <w:t xml:space="preserve"> </w:t>
            </w:r>
            <w:r>
              <w:rPr>
                <w:rStyle w:val="VerbatimChar"/>
              </w:rPr>
              <w:t xml:space="preserve">[FR-H-1]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Maintains entity state over time.</w:t>
            </w:r>
            <w:r>
              <w:t xml:space="preserve"> </w:t>
            </w:r>
            <w:r>
              <w:rPr>
                <w:rStyle w:val="VerbatimChar"/>
              </w:rPr>
              <w:t xml:space="preserve">[FR-H-2]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Classifier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+ Mimir classification.</w:t>
            </w:r>
            <w:r>
              <w:t xml:space="preserve"> </w:t>
            </w:r>
            <w:r>
              <w:rPr>
                <w:rStyle w:val="VerbatimChar"/>
              </w:rPr>
              <w:t xml:space="preserve">[FR-H-2]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 requester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Cited, ranked options from Mimir.</w:t>
            </w:r>
            <w:r>
              <w:t xml:space="preserve"> </w:t>
            </w:r>
            <w:r>
              <w:rPr>
                <w:rStyle w:val="VerbatimChar"/>
              </w:rPr>
              <w:t xml:space="preserve">[FR-H-4]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authorisation + audit.</w:t>
            </w:r>
            <w:r>
              <w:t xml:space="preserve"> </w:t>
            </w:r>
            <w:r>
              <w:rPr>
                <w:rStyle w:val="VerbatimChar"/>
              </w:rPr>
              <w:t xml:space="preserve">[FR-H-5]</w:t>
            </w:r>
          </w:p>
        </w:tc>
      </w:tr>
    </w:tbl>
    <w:bookmarkEnd w:id="51"/>
    <w:bookmarkStart w:id="56" w:name="X6ce0f4594d272bfe6c8519b1832e181c057f969"/>
    <w:p>
      <w:pPr>
        <w:pStyle w:val="Heading2"/>
      </w:pPr>
      <w:r>
        <w:t xml:space="preserve">8. Data Architecture</w:t>
      </w:r>
    </w:p>
    <w:p>
      <w:pPr>
        <w:pStyle w:val="FirstParagraph"/>
      </w:pPr>
      <w:r>
        <w:drawing>
          <wp:inline>
            <wp:extent cx="6210300" cy="11469472"/>
            <wp:effectExtent b="0" l="0" r="0" t="0"/>
            <wp:docPr descr="Figure 8.1 — Heimdall data model (feeds, entities, tracks, options, actions)." title="" id="53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er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1469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8.1 — Heimdall data model (feeds, entities, tracks, options, actions).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PQ-authenticated source.</w:t>
            </w:r>
            <w:r>
              <w:t xml:space="preserve"> </w:t>
            </w:r>
            <w:r>
              <w:rPr>
                <w:rStyle w:val="VerbatimChar"/>
              </w:rPr>
              <w:t xml:space="preserve">[FR-H-3]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datum from a feed.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TrackedEntity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Fused entity over time.</w:t>
            </w:r>
            <w:r>
              <w:t xml:space="preserve"> </w:t>
            </w:r>
            <w:r>
              <w:rPr>
                <w:rStyle w:val="VerbatimChar"/>
              </w:rPr>
              <w:t xml:space="preserve">[FR-H-2]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+ provenance.</w:t>
            </w:r>
            <w:r>
              <w:t xml:space="preserve"> </w:t>
            </w:r>
            <w:r>
              <w:rPr>
                <w:rStyle w:val="VerbatimChar"/>
              </w:rPr>
              <w:t xml:space="preserve">[FR-H-2]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Ranked, cited options from Mimir.</w:t>
            </w:r>
            <w:r>
              <w:t xml:space="preserve"> </w:t>
            </w:r>
            <w:r>
              <w:rPr>
                <w:rStyle w:val="VerbatimChar"/>
              </w:rPr>
              <w:t xml:space="preserve">[FR-H-4]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Human-authorised action + audit.</w:t>
            </w:r>
            <w:r>
              <w:t xml:space="preserve"> </w:t>
            </w:r>
            <w:r>
              <w:rPr>
                <w:rStyle w:val="VerbatimChar"/>
              </w:rPr>
              <w:t xml:space="preserve">[FR-H-5]</w:t>
            </w:r>
          </w:p>
        </w:tc>
      </w:tr>
    </w:tbl>
    <w:bookmarkStart w:id="55" w:name="X302443dd7d1b811fc7b794986bd62cde983383b"/>
    <w:p>
      <w:pPr>
        <w:pStyle w:val="Heading3"/>
      </w:pPr>
      <w:r>
        <w:t xml:space="preserve">8.2 Data stores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Tracked entities, current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PQ-wrapped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Feed/audit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Observations,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PQ-signed, encrypted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</w:tbl>
    <w:bookmarkEnd w:id="55"/>
    <w:bookmarkEnd w:id="56"/>
    <w:bookmarkStart w:id="65" w:name="Xdae0506cad43aacafb5d6392be39e0477bdeabd"/>
    <w:p>
      <w:pPr>
        <w:pStyle w:val="Heading2"/>
      </w:pPr>
      <w:r>
        <w:t xml:space="preserve">9. Integration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API/SDK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PQ-mTLS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 + sign feeds</w:t>
            </w:r>
            <w:r>
              <w:t xml:space="preserve"> </w:t>
            </w:r>
            <w:r>
              <w:rPr>
                <w:rStyle w:val="VerbatimChar"/>
              </w:rPr>
              <w:t xml:space="preserve">[FR-H-3]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the common picture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gRPC/REST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human-gated actions</w:t>
            </w:r>
            <w:r>
              <w:t xml:space="preserve"> </w:t>
            </w:r>
            <w:r>
              <w:rPr>
                <w:rStyle w:val="VerbatimChar"/>
              </w:rPr>
              <w:t xml:space="preserve">[FR-H-5]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Mimir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gRPC (internal)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+ options</w:t>
            </w:r>
            <w:r>
              <w:t xml:space="preserve"> </w:t>
            </w:r>
            <w:r>
              <w:rPr>
                <w:rStyle w:val="VerbatimChar"/>
              </w:rPr>
              <w:t xml:space="preserve">[FR-H-4]</w:t>
            </w:r>
          </w:p>
        </w:tc>
      </w:tr>
    </w:tbl>
    <w:bookmarkStart w:id="60" w:name="Xc0870cc8d85fe677b1547f1021d1f81b51e6d10"/>
    <w:p>
      <w:pPr>
        <w:pStyle w:val="Heading3"/>
      </w:pPr>
      <w:r>
        <w:t xml:space="preserve">9.2 Primary sequence</w:t>
      </w:r>
    </w:p>
    <w:p>
      <w:pPr>
        <w:pStyle w:val="FirstParagraph"/>
      </w:pPr>
      <w:r>
        <w:drawing>
          <wp:inline>
            <wp:extent cx="6210300" cy="2926051"/>
            <wp:effectExtent b="0" l="0" r="0" t="0"/>
            <wp:docPr descr="Figure 9.1 — Feed verify → fuse → classify → request options (Mimir) → human authorises → audited action." title="" id="58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seq_primar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92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9.1 — Feed verify → fuse → classify → request options (Mimir) → human authorises → audited action.</w:t>
      </w:r>
    </w:p>
    <w:bookmarkEnd w:id="60"/>
    <w:bookmarkStart w:id="64" w:name="Xb52ca053d84c7c9efd72b72d9bffa0b23b17aac"/>
    <w:p>
      <w:pPr>
        <w:pStyle w:val="Heading3"/>
      </w:pPr>
      <w:r>
        <w:t xml:space="preserve">9.3 User journey</w:t>
      </w:r>
    </w:p>
    <w:p>
      <w:pPr>
        <w:pStyle w:val="FirstParagraph"/>
      </w:pPr>
      <w:r>
        <w:drawing>
          <wp:inline>
            <wp:extent cx="6210300" cy="4475535"/>
            <wp:effectExtent b="0" l="0" r="0" t="0"/>
            <wp:docPr descr="Figure 9.2 — Operations analyst primary journey." title="" id="62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journey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4475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9.2 — Operations analyst primary journey.</w:t>
      </w:r>
    </w:p>
    <w:bookmarkEnd w:id="64"/>
    <w:bookmarkEnd w:id="65"/>
    <w:bookmarkStart w:id="73" w:name="X7fbd96d6d4e73b00f8f530921b6510ade697b99"/>
    <w:p>
      <w:pPr>
        <w:pStyle w:val="Heading2"/>
      </w:pPr>
      <w:r>
        <w:t xml:space="preserve">10. Infrastructure &amp; Deployment</w:t>
      </w:r>
    </w:p>
    <w:p>
      <w:pPr>
        <w:pStyle w:val="FirstParagraph"/>
      </w:pPr>
      <w:r>
        <w:drawing>
          <wp:inline>
            <wp:extent cx="6210300" cy="2653635"/>
            <wp:effectExtent b="0" l="0" r="0" t="0"/>
            <wp:docPr descr="Figure 10.1 — Heimdall deployment (fusion workers + picture sync)." title="" id="67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deployment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653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10.1 — Heimdall deployment (fusion workers + picture sync).</w:t>
      </w:r>
    </w:p>
    <w:p>
      <w:pPr>
        <w:pStyle w:val="BodyText"/>
      </w:pPr>
      <w:r>
        <w:t xml:space="preserve">Heimdall runs streaming fusion workers and a picture store on the mesh; supports multi-node/site replication over PQ-mTLS; air-gap capable with local Mimir.</w:t>
      </w:r>
      <w:r>
        <w:t xml:space="preserve"> </w:t>
      </w:r>
      <w:r>
        <w:rPr>
          <w:rStyle w:val="VerbatimChar"/>
        </w:rPr>
        <w:t xml:space="preserve">[FR-H-6]</w:t>
      </w:r>
      <w:r>
        <w:t xml:space="preserve"> </w:t>
      </w:r>
      <w:r>
        <w:rPr>
          <w:rStyle w:val="VerbatimChar"/>
        </w:rPr>
        <w:t xml:space="preserve">[NFR-PRV-1]</w:t>
      </w:r>
    </w:p>
    <w:bookmarkStart w:id="72" w:name="X798bedab417abcd47c4e76f58c7bce811a08d1c"/>
    <w:p>
      <w:pPr>
        <w:pStyle w:val="Heading3"/>
      </w:pPr>
      <w:r>
        <w:t xml:space="preserve">10.2 CI/CD</w:t>
      </w:r>
    </w:p>
    <w:p>
      <w:pPr>
        <w:pStyle w:val="FirstParagraph"/>
      </w:pPr>
      <w:r>
        <w:drawing>
          <wp:inline>
            <wp:extent cx="6210300" cy="602018"/>
            <wp:effectExtent b="0" l="0" r="0" t="0"/>
            <wp:docPr descr="Figure 10.2 — Heimdall build/test/sign/deploy pipeline (via Bifrost)." title="" id="70" name="Picture"/>
            <a:graphic>
              <a:graphicData uri="http://schemas.openxmlformats.org/drawingml/2006/picture">
                <pic:pic>
                  <pic:nvPicPr>
                    <pic:cNvPr descr="/home/user/midgard-app/docs/dev/diagrams/product_cicd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602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10.2 — Heimdall build/test/sign/deploy pipeline (via Bifrost).</w:t>
      </w:r>
    </w:p>
    <w:bookmarkEnd w:id="72"/>
    <w:bookmarkEnd w:id="73"/>
    <w:bookmarkStart w:id="79" w:name="X7770e309c576d22deb80f2842dff533627b4b66"/>
    <w:p>
      <w:pPr>
        <w:pStyle w:val="Heading2"/>
      </w:pPr>
      <w:r>
        <w:t xml:space="preserve">11. Security Architecture</w:t>
      </w:r>
    </w:p>
    <w:p>
      <w:pPr>
        <w:pStyle w:val="FirstParagraph"/>
      </w:pPr>
      <w:r>
        <w:drawing>
          <wp:inline>
            <wp:extent cx="6210300" cy="19890960"/>
            <wp:effectExtent b="0" l="0" r="0" t="0"/>
            <wp:docPr descr="Figure 11.1 — Heimdall STRIDE data-flow diagram." title="" id="75" name="Picture"/>
            <a:graphic>
              <a:graphicData uri="http://schemas.openxmlformats.org/drawingml/2006/picture">
                <pic:pic>
                  <pic:nvPicPr>
                    <pic:cNvPr descr="/home/user/midgard-app/docs/dev/diagrams/heimdall_threat_df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1989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11.1 — Heimdall STRIDE data-flow diagram.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→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S,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source signature verify</w:t>
            </w:r>
            <w:r>
              <w:t xml:space="preserve"> </w:t>
            </w:r>
            <w:r>
              <w:rPr>
                <w:rStyle w:val="VerbatimChar"/>
              </w:rPr>
              <w:t xml:space="preserve">[FR-H-3]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Fusion → Picture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T,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 at rest, marking-aware</w:t>
            </w:r>
            <w:r>
              <w:t xml:space="preserve"> </w:t>
            </w:r>
            <w:r>
              <w:rPr>
                <w:rStyle w:val="VerbatimChar"/>
              </w:rPr>
              <w:t xml:space="preserve">[NFR-PQ-2]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→ Mimir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T,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mTLS, cited/audited options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 →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R, 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gate, policy point, audit</w:t>
            </w:r>
            <w:r>
              <w:t xml:space="preserve"> </w:t>
            </w:r>
            <w:r>
              <w:rPr>
                <w:rStyle w:val="VerbatimChar"/>
              </w:rPr>
              <w:t xml:space="preserve">[FR-H-5]</w:t>
            </w:r>
          </w:p>
        </w:tc>
      </w:tr>
    </w:tbl>
    <w:bookmarkStart w:id="77" w:name="X63e0883d6886e5f1ff75f09d43317c8aae561b5"/>
    <w:p>
      <w:pPr>
        <w:pStyle w:val="Heading3"/>
      </w:pPr>
      <w:r>
        <w:t xml:space="preserve">11.2 Decision-safety controls</w:t>
      </w:r>
    </w:p>
    <w:p>
      <w:pPr>
        <w:numPr>
          <w:ilvl w:val="0"/>
          <w:numId w:val="1004"/>
        </w:numPr>
        <w:pStyle w:val="Compact"/>
      </w:pPr>
      <w:r>
        <w:t xml:space="preserve">Options are explainable and cited to feed evidence.</w:t>
      </w:r>
      <w:r>
        <w:t xml:space="preserve"> </w:t>
      </w:r>
      <w:r>
        <w:rPr>
          <w:rStyle w:val="VerbatimChar"/>
        </w:rPr>
        <w:t xml:space="preserve">[FR-H-4]</w:t>
      </w:r>
    </w:p>
    <w:p>
      <w:pPr>
        <w:numPr>
          <w:ilvl w:val="0"/>
          <w:numId w:val="1004"/>
        </w:numPr>
        <w:pStyle w:val="Compact"/>
      </w:pPr>
      <w:r>
        <w:t xml:space="preserve">Consequential actions require human authorisation.</w:t>
      </w:r>
      <w:r>
        <w:t xml:space="preserve"> </w:t>
      </w:r>
      <w:r>
        <w:rPr>
          <w:rStyle w:val="VerbatimChar"/>
        </w:rPr>
        <w:t xml:space="preserve">[FR-H-5]</w:t>
      </w:r>
    </w:p>
    <w:p>
      <w:pPr>
        <w:numPr>
          <w:ilvl w:val="0"/>
          <w:numId w:val="1004"/>
        </w:numPr>
        <w:pStyle w:val="Compact"/>
      </w:pPr>
      <w:r>
        <w:t xml:space="preserve">Full audit lineage of options presented and decisions taken.</w:t>
      </w:r>
      <w:r>
        <w:t xml:space="preserve"> </w:t>
      </w:r>
      <w:r>
        <w:rPr>
          <w:rStyle w:val="VerbatimChar"/>
        </w:rPr>
        <w:t xml:space="preserve">[NFR-AI-1]</w:t>
      </w:r>
    </w:p>
    <w:p>
      <w:pPr>
        <w:numPr>
          <w:ilvl w:val="0"/>
          <w:numId w:val="1004"/>
        </w:numPr>
        <w:pStyle w:val="Compact"/>
      </w:pPr>
      <w:r>
        <w:t xml:space="preserve">Feed sources PQ-authenticated to prevent spoofing.</w:t>
      </w:r>
      <w:r>
        <w:t xml:space="preserve"> </w:t>
      </w:r>
      <w:r>
        <w:rPr>
          <w:rStyle w:val="VerbatimChar"/>
        </w:rPr>
        <w:t xml:space="preserve">[NFR-PQ-3]</w:t>
      </w:r>
    </w:p>
    <w:bookmarkEnd w:id="77"/>
    <w:bookmarkStart w:id="78" w:name="X279412ced3cc89142e87ba3c9c8741ac6649d26"/>
    <w:p>
      <w:pPr>
        <w:pStyle w:val="Heading3"/>
      </w:pPr>
      <w:r>
        <w:t xml:space="preserve">11.3 Known design gaps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Automation bias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Explainable cited options + mandatory human gate + training.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spoofing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PQ-signed feeds; reject unverified.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</w:tbl>
    <w:bookmarkEnd w:id="78"/>
    <w:bookmarkEnd w:id="79"/>
    <w:bookmarkStart w:id="80" w:name="Xdd4aa59e587b2c790ebd2247abba3b190fa44f3"/>
    <w:p>
      <w:pPr>
        <w:pStyle w:val="Heading2"/>
      </w:pPr>
      <w:r>
        <w:t xml:space="preserve">12. Observability</w:t>
      </w:r>
    </w:p>
    <w:p>
      <w:pPr>
        <w:numPr>
          <w:ilvl w:val="0"/>
          <w:numId w:val="1005"/>
        </w:numPr>
        <w:pStyle w:val="Compact"/>
      </w:pPr>
      <w:r>
        <w:t xml:space="preserve">Fusion latency + feed-health metrics.</w:t>
      </w:r>
      <w:r>
        <w:t xml:space="preserve"> </w:t>
      </w:r>
      <w:r>
        <w:rPr>
          <w:rStyle w:val="VerbatimChar"/>
        </w:rPr>
        <w:t xml:space="preserve">[NFR-AVA-1]</w:t>
      </w:r>
    </w:p>
    <w:p>
      <w:pPr>
        <w:numPr>
          <w:ilvl w:val="0"/>
          <w:numId w:val="1005"/>
        </w:numPr>
        <w:pStyle w:val="Compact"/>
      </w:pPr>
      <w:r>
        <w:t xml:space="preserve">Decision audit trail.</w:t>
      </w:r>
      <w:r>
        <w:t xml:space="preserve"> </w:t>
      </w:r>
      <w:r>
        <w:rPr>
          <w:rStyle w:val="VerbatimChar"/>
        </w:rPr>
        <w:t xml:space="preserve">[FR-H-5]</w:t>
      </w:r>
    </w:p>
    <w:p>
      <w:pPr>
        <w:numPr>
          <w:ilvl w:val="0"/>
          <w:numId w:val="1005"/>
        </w:numPr>
        <w:pStyle w:val="Compact"/>
      </w:pPr>
      <w:r>
        <w:t xml:space="preserve">Classification accuracy monitoring.</w:t>
      </w:r>
      <w:r>
        <w:t xml:space="preserve"> </w:t>
      </w:r>
      <w:r>
        <w:rPr>
          <w:rStyle w:val="VerbatimChar"/>
        </w:rPr>
        <w:t xml:space="preserve">[FR-H-2]</w:t>
      </w:r>
    </w:p>
    <w:bookmarkEnd w:id="80"/>
    <w:bookmarkStart w:id="81" w:name="Xfbaff95e06aebe7467938e3e4859476cfef7025"/>
    <w:p>
      <w:pPr>
        <w:pStyle w:val="Heading2"/>
      </w:pPr>
      <w:r>
        <w:t xml:space="preserve">13. Operational Concerns</w:t>
      </w:r>
    </w:p>
    <w:p>
      <w:pPr>
        <w:numPr>
          <w:ilvl w:val="0"/>
          <w:numId w:val="1006"/>
        </w:numPr>
        <w:pStyle w:val="Compact"/>
      </w:pPr>
      <w:r>
        <w:t xml:space="preserve">Multi-node picture replication for resilience.</w:t>
      </w:r>
      <w:r>
        <w:t xml:space="preserve"> </w:t>
      </w:r>
      <w:r>
        <w:rPr>
          <w:rStyle w:val="VerbatimChar"/>
        </w:rPr>
        <w:t xml:space="preserve">[FR-H-6]</w:t>
      </w:r>
    </w:p>
    <w:p>
      <w:pPr>
        <w:numPr>
          <w:ilvl w:val="0"/>
          <w:numId w:val="1006"/>
        </w:numPr>
        <w:pStyle w:val="Compact"/>
      </w:pPr>
      <w:r>
        <w:t xml:space="preserve">Degraded mode without Mimir (rules-only classification).</w:t>
      </w:r>
      <w:r>
        <w:t xml:space="preserve"> </w:t>
      </w:r>
      <w:r>
        <w:rPr>
          <w:rStyle w:val="VerbatimChar"/>
        </w:rPr>
        <w:t xml:space="preserve">[DD-6]</w:t>
      </w:r>
    </w:p>
    <w:p>
      <w:pPr>
        <w:numPr>
          <w:ilvl w:val="0"/>
          <w:numId w:val="1006"/>
        </w:numPr>
        <w:pStyle w:val="Compact"/>
      </w:pPr>
      <w:r>
        <w:t xml:space="preserve">Horizontal fusion scaling.</w:t>
      </w:r>
      <w:r>
        <w:t xml:space="preserve"> </w:t>
      </w:r>
      <w:r>
        <w:rPr>
          <w:rStyle w:val="VerbatimChar"/>
        </w:rPr>
        <w:t xml:space="preserve">[NFR-AVA-1]</w:t>
      </w:r>
    </w:p>
    <w:bookmarkEnd w:id="81"/>
    <w:bookmarkStart w:id="82" w:name="X661e39641e9ee808c9cc27fd5b933fead9663aa"/>
    <w:p>
      <w:pPr>
        <w:pStyle w:val="Heading2"/>
      </w:pPr>
      <w:r>
        <w:t xml:space="preserve">14. Quality &amp; Testing</w:t>
      </w:r>
    </w:p>
    <w:p>
      <w:pPr>
        <w:numPr>
          <w:ilvl w:val="0"/>
          <w:numId w:val="1007"/>
        </w:numPr>
        <w:pStyle w:val="Compact"/>
      </w:pPr>
      <w:r>
        <w:t xml:space="preserve">Fusion correctness on replay corpora.</w:t>
      </w:r>
      <w:r>
        <w:t xml:space="preserve"> </w:t>
      </w:r>
      <w:r>
        <w:rPr>
          <w:rStyle w:val="VerbatimChar"/>
        </w:rPr>
        <w:t xml:space="preserve">[FR-H-1]</w:t>
      </w:r>
    </w:p>
    <w:p>
      <w:pPr>
        <w:numPr>
          <w:ilvl w:val="0"/>
          <w:numId w:val="1007"/>
        </w:numPr>
        <w:pStyle w:val="Compact"/>
      </w:pPr>
      <w:r>
        <w:t xml:space="preserve">Feed-spoofing negative tests.</w:t>
      </w:r>
      <w:r>
        <w:t xml:space="preserve"> </w:t>
      </w:r>
      <w:r>
        <w:rPr>
          <w:rStyle w:val="VerbatimChar"/>
        </w:rPr>
        <w:t xml:space="preserve">[FR-H-3]</w:t>
      </w:r>
    </w:p>
    <w:p>
      <w:pPr>
        <w:numPr>
          <w:ilvl w:val="0"/>
          <w:numId w:val="1007"/>
        </w:numPr>
        <w:pStyle w:val="Compact"/>
      </w:pPr>
      <w:r>
        <w:t xml:space="preserve">Decision-workflow audit completeness.</w:t>
      </w:r>
      <w:r>
        <w:t xml:space="preserve"> </w:t>
      </w:r>
      <w:r>
        <w:rPr>
          <w:rStyle w:val="VerbatimChar"/>
        </w:rPr>
        <w:t xml:space="preserve">[FR-H-5]</w:t>
      </w:r>
    </w:p>
    <w:bookmarkEnd w:id="82"/>
    <w:bookmarkStart w:id="83" w:name="X35ae3af570e4427d32875505bdbdcd3530afd01"/>
    <w:p>
      <w:pPr>
        <w:pStyle w:val="Heading2"/>
      </w:pPr>
      <w:r>
        <w:t xml:space="preserve">15. Risks &amp;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Over-trust in AI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Explainability + human gate + audit.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PQ-authenticated sources.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High-rate feed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Streaming fusion + horizontal scale.</w:t>
            </w:r>
            <w:r>
              <w:t xml:space="preserve"> </w:t>
            </w:r>
            <w:r>
              <w:rPr>
                <w:rStyle w:val="VerbatimChar"/>
              </w:rPr>
              <w:t xml:space="preserve">[NFR-AVA-1]</w:t>
            </w:r>
          </w:p>
        </w:tc>
      </w:tr>
    </w:tbl>
    <w:bookmarkEnd w:id="83"/>
    <w:bookmarkStart w:id="84" w:name="X1163c3f19a6cb67b912a65440b7f4c1d293e1fb"/>
    <w:p>
      <w:pPr>
        <w:pStyle w:val="Heading2"/>
      </w:pPr>
      <w:r>
        <w:t xml:space="preserve">16. Roadmap</w:t>
      </w:r>
    </w:p>
    <w:p>
      <w:pPr>
        <w:numPr>
          <w:ilvl w:val="0"/>
          <w:numId w:val="1008"/>
        </w:numPr>
        <w:pStyle w:val="Compact"/>
      </w:pPr>
      <w:r>
        <w:t xml:space="preserve">Feed gateway + fusion + common picture.</w:t>
      </w:r>
    </w:p>
    <w:p>
      <w:pPr>
        <w:numPr>
          <w:ilvl w:val="0"/>
          <w:numId w:val="1008"/>
        </w:numPr>
        <w:pStyle w:val="Compact"/>
      </w:pPr>
      <w:r>
        <w:t xml:space="preserve">Entity tracking + classification.</w:t>
      </w:r>
    </w:p>
    <w:p>
      <w:pPr>
        <w:numPr>
          <w:ilvl w:val="0"/>
          <w:numId w:val="1008"/>
        </w:numPr>
        <w:pStyle w:val="Compact"/>
      </w:pPr>
      <w:r>
        <w:t xml:space="preserve">Mimir-assisted cited options.</w:t>
      </w:r>
    </w:p>
    <w:p>
      <w:pPr>
        <w:numPr>
          <w:ilvl w:val="0"/>
          <w:numId w:val="1008"/>
        </w:numPr>
        <w:pStyle w:val="Compact"/>
      </w:pPr>
      <w:r>
        <w:t xml:space="preserve">Human-gated workflows + multi-node sync.</w:t>
      </w:r>
    </w:p>
    <w:bookmarkEnd w:id="84"/>
    <w:bookmarkStart w:id="85" w:name="Xc8b90de2f61776b00ebec25b517d9c9dea8f5c8"/>
    <w:p>
      <w:pPr>
        <w:pStyle w:val="Heading2"/>
      </w:pPr>
      <w:r>
        <w:t xml:space="preserve">17. Acceptance Criteria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/ When / 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multiple feeds, when ingested, then a single fused picture is produced with per-layer toggles.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an unverified feed source, when it connects, then its data is rejected from the picture.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[FR-H-3]</w:t>
            </w:r>
            <w:r>
              <w:t xml:space="preserve"> </w:t>
            </w:r>
            <w:r>
              <w:rPr>
                <w:rStyle w:val="VerbatimChar"/>
              </w:rPr>
              <w:t xml:space="preserve">[NFR-PQ-3]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decision point, when options are requested, then Mimir returns ranked options each citing the evidence used.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a consequential action, when proposed, then it is not executed without explicit human authorisation and is fully audited.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[FR-H-5]</w:t>
            </w:r>
            <w:r>
              <w:t xml:space="preserve"> </w:t>
            </w:r>
            <w:r>
              <w:rPr>
                <w:rStyle w:val="VerbatimChar"/>
              </w:rPr>
              <w:t xml:space="preserve">[NFR-AI-1]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multi-node deployment, when the picture updates, then it replicates across nodes over PQ-mTLS.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[FR-H-6]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Mimir is absent, when operating, then fusion and rules-based classification remain fully functional (standalone mode).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[DD-6]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AC-H-7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Given no outbound connectivity, when operating, then fusion, picture, and workflows all function (air-gap).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[NFR-PRV-1]</w:t>
            </w:r>
          </w:p>
        </w:tc>
      </w:tr>
    </w:tbl>
    <w:bookmarkEnd w:id="85"/>
    <w:bookmarkStart w:id="86" w:name="appendix-a--diagram-source-index"/>
    <w:p>
      <w:pPr>
        <w:pStyle w:val="Heading2"/>
      </w:pPr>
      <w:r>
        <w:t xml:space="preserve">Appendix A — Diagram Source Index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draw.io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heimdall_c4_context.mmd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heimdall_c4_context.drawio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heimdall_c4_containers.mmd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heimdall_c4_containers.drawio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heimdall_c4_component.mmd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heimdall_c4_component.drawio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heimdall_er.mmd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heimdall_er.drawio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heimdall_seq_primary.mmd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heimdall_seq_primary.drawio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heimdall_journey.mmd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heimdall_journey.drawio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heimdall_deployment.mmd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heimdall_deployment.drawio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product_cicd.mmd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product_cicd.drawio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Threat DFD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heimdall_threat_dfd.mmd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heimdall_threat_dfd.drawio</w:t>
            </w:r>
          </w:p>
        </w:tc>
      </w:tr>
    </w:tbl>
    <w:bookmarkEnd w:id="86"/>
    <w:sectPr w:rsidR="00FC693F" w:rsidRPr="0006063C" w:rsidSect="00034616">
      <w:headerReference r:id="rId9" w:type="default"/>
      <w:footerReference r:id="rId10" w:type="default"/>
      <w:pgSz w:h="15840" w:w="12240"/>
      <w:pgMar w:bottom="1152" w:footer="720" w:gutter="0" w:header="720" w:left="1224" w:right="1224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jc w:val="left"/>
    </w:pPr>
    <w:r/>
    <w:r>
      <w:rPr>
        <w:rFonts w:ascii="Calibri" w:hAnsi="Calibri"/>
        <w:color w:val="595959"/>
        <w:sz w:val="14"/>
      </w:rPr>
      <w:t>Veldris Ltd · Company no. 17366869 · PUBLIC</w:t>
    </w:r>
    <w:r>
      <w:tab/>
      <w:tab/>
    </w:r>
    <w:r>
      <w:rPr>
        <w:color w:val="595959"/>
        <w:sz w:val="14"/>
      </w:rPr>
      <w:t xml:space="preserve">Page </w:t>
    </w:r>
    <w:r>
      <w:rPr>
        <w:color w:val="595959"/>
        <w:sz w:val="14"/>
      </w:rPr>
      <w:fldChar w:fldCharType="begin"/>
      <w:instrText xml:space="preserve"> PAGE </w:instrText>
      <w:fldChar w:fldCharType="end"/>
    </w:r>
    <w:r>
      <w:rPr>
        <w:color w:val="595959"/>
        <w:sz w:val="14"/>
      </w:rPr>
      <w:t xml:space="preserve"> of </w:t>
    </w:r>
    <w:r>
      <w:rPr>
        <w:color w:val="595959"/>
        <w:sz w:val="14"/>
      </w:rPr>
      <w:fldChar w:fldCharType="begin"/>
      <w:instrText xml:space="preserve"> NUMPAGES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Calibri" w:hAnsi="Calibri"/>
        <w:color w:val="595959"/>
        <w:sz w:val="16"/>
      </w:rPr>
      <w:t>Solutions Architecture Document — Heimdall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color w:val="1A1A1A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4884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168BD"/>
      <w:sz w:val="25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A1A1A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8" Target="media/rId48.png" /><Relationship Type="http://schemas.openxmlformats.org/officeDocument/2006/relationships/image" Id="rId38" Target="media/rId38.png" /><Relationship Type="http://schemas.openxmlformats.org/officeDocument/2006/relationships/image" Id="rId29" Target="media/rId29.png" /><Relationship Type="http://schemas.openxmlformats.org/officeDocument/2006/relationships/image" Id="rId66" Target="media/rId66.png" /><Relationship Type="http://schemas.openxmlformats.org/officeDocument/2006/relationships/image" Id="rId52" Target="media/rId52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74" Target="media/rId74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Solutions Architecture Document — Heimdall</dc:title>
  <dc:creator>Veldris Ltd</dc:creator>
  <dc:subject>Midgard Suite, PUBLIC</dc:subject>
  <cp:keywords/>
  <dcterms:created xsi:type="dcterms:W3CDTF">2026-10-24T13:17:00Z</dcterms:created>
  <dcterms:modified xsi:type="dcterms:W3CDTF">2026-10-24T13:17:00Z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