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png" ContentType="image/png"/>
  <Override PartName="/word/media/rId36.png" ContentType="image/png"/>
  <Override PartName="/word/media/rId32.png" ContentType="image/png"/>
  <Override PartName="/word/media/rId40.png" ContentType="image/png"/>
  <Override PartName="/word/media/rId29.png" ContentType="image/png"/>
  <Override PartName="/word/media/rId45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Midgard Suite — Gungnir (Solutions Architecture Document)</w:t>
      </w:r>
    </w:p>
    <w:p>
      <w:pPr>
        <w:pStyle w:val="Author"/>
      </w:pPr>
      <w:r>
        <w:t xml:space="preserve">Veldris Ltd</w:t>
      </w:r>
    </w:p>
    <w:p>
      <w:pPr>
        <w:pStyle w:val="FirstParagraph"/>
      </w:pPr>
      <w:r>
        <w:rPr>
          <w:iCs/>
          <w:i/>
        </w:rPr>
        <w:t xml:space="preserve">The consequence-projection module — forward-simulation of human-authorised plans, with on-the-ground oversight control</w:t>
      </w:r>
    </w:p>
    <w:p>
      <w:pPr>
        <w:pStyle w:val="BodyText"/>
      </w:pPr>
      <w:r>
        <w:rPr>
          <w:bCs/>
          <w:b/>
        </w:rPr>
        <w:t xml:space="preserve">Module:</w:t>
      </w:r>
      <w:r>
        <w:t xml:space="preserve"> </w:t>
      </w:r>
      <w:r>
        <w:t xml:space="preserve">Gungnir ·</w:t>
      </w:r>
      <w:r>
        <w:t xml:space="preserve"> </w:t>
      </w:r>
      <w:r>
        <w:rPr>
          <w:bCs/>
          <w:b/>
        </w:rPr>
        <w:t xml:space="preserve">Methodology:</w:t>
      </w:r>
      <w:r>
        <w:t xml:space="preserve"> </w:t>
      </w:r>
      <w:r>
        <w:t xml:space="preserve">Imhotep (arc42 + TOGAF + C4; NIST 800-53 / OWASP ASVS / ISO 27001)</w:t>
      </w:r>
      <w:r>
        <w:t xml:space="preserve"> </w:t>
      </w:r>
      <w:r>
        <w:rPr>
          <w:bCs/>
          <w:b/>
        </w:rPr>
        <w:t xml:space="preserve">New:</w:t>
      </w:r>
      <w:r>
        <w:t xml:space="preserve"> </w:t>
      </w:r>
      <w:r>
        <w:t xml:space="preserve">FR-G-1..14, NFR-G-1..8, AC-G-1..20, prompts A.G-1..3 ·</w:t>
      </w:r>
      <w:r>
        <w:t xml:space="preserve"> </w:t>
      </w:r>
      <w:r>
        <w:rPr>
          <w:bCs/>
          <w:b/>
        </w:rPr>
        <w:t xml:space="preserve">v1.0.0</w:t>
      </w:r>
      <w:r>
        <w:t xml:space="preserve"> </w:t>
      </w:r>
      <w:r>
        <w:t xml:space="preserve">· PUBLIC, published with the Midgard repository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Forward-looking design specification (greenfield). Provenance tags: [DD-</w:t>
      </w:r>
      <w:r>
        <w:rPr>
          <w:iCs/>
          <w:i/>
        </w:rPr>
        <w:t xml:space="preserve">], [FR-</w:t>
      </w:r>
      <w:r>
        <w:t xml:space="preserve">]/[NFR-</w:t>
      </w:r>
      <w:r>
        <w:rPr>
          <w:iCs/>
          <w:i/>
        </w:rPr>
        <w:t xml:space="preserve">], [STD:</w:t>
      </w:r>
      <w:r>
        <w:t xml:space="preserve">].</w:t>
      </w:r>
    </w:p>
    <w:p>
      <w:pPr>
        <w:pStyle w:val="BlockText"/>
      </w:pPr>
      <w:r>
        <w:rPr>
          <w:bCs/>
          <w:b/>
        </w:rPr>
        <w:t xml:space="preserve">WHAT GUNGNIR IS.</w:t>
      </w:r>
      <w:r>
        <w:t xml:space="preserve"> </w:t>
      </w:r>
      <w:r>
        <w:t xml:space="preserve">A consequence-projection engine. Given a human's intended plan (linear or branched, all human-authorised), it sandboxes the tree, models branch outcomes, computes probability-of-success across the campaign, and surfaces 2nd/3rd-order effects — so the human understands the SUM of a plan before authorising step one. Named for Odin's spear, guided by foresight.</w:t>
      </w:r>
    </w:p>
    <w:p>
      <w:pPr>
        <w:pStyle w:val="BlockText"/>
      </w:pPr>
      <w:r>
        <w:rPr>
          <w:bCs/>
          <w:b/>
        </w:rPr>
        <w:t xml:space="preserve">WHAT GUNGNIR IS NOT — BY DESIGN.</w:t>
      </w:r>
      <w:r>
        <w:t xml:space="preserve"> </w:t>
      </w:r>
      <w:r>
        <w:t xml:space="preserve">No execution, no weapon/fire control, no closed-loop engagement, no reach into connected assets. No execution interface and no network path to a real asset exist. No fire-control or weapon-employment models; effects and cyber represented only as planning-level abstractions, never executable/reconstructable logic. Architectural absences, not switches. Real actions remain the human's, via the existing Heimdall human-gate.</w:t>
      </w:r>
    </w:p>
    <w:bookmarkStart w:id="20" w:name="X14dfe8f0b252f4039975e19fb03b37d6f7b59ff"/>
    <w:p>
      <w:pPr>
        <w:pStyle w:val="Heading2"/>
      </w:pPr>
      <w:r>
        <w:t xml:space="preserve">1.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Forward-simulate linear &amp; branched human-authored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(FR-G-1/2)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Probability-of-success across the plan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(FR-G-3)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/ 2nd–3rd order effect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(FR-G-4)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Multi-asset (humanoid/drone/vehicle) behaviour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— models, not control (FR-G-5)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Coordination/timing/deconfliction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(FR-G-6)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On-the-ground oversight-operator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(FR-G-10..13)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execution / weapon / fire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no execution interface, no fire-control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/ closed-loop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closes no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Offensive cyber execution / forward-push into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cyber as abstraction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carve-outs that keep this a planning tool:</w:t>
      </w:r>
      <w:r>
        <w:t xml:space="preserve"> </w:t>
      </w:r>
      <w:r>
        <w:t xml:space="preserve">(1) models THAT an effect occurs and what follows, but contains no weapon-employment/fire-control models — reasons at planning level, not fire-control level; (2) cyber actions are defensive/effect-level abstractions, never executable/reconstructable attack logic.</w:t>
      </w:r>
    </w:p>
    <w:bookmarkEnd w:id="20"/>
    <w:bookmarkStart w:id="21" w:name="Xb5ef7a3ad6323d1c20fb4168c69b0ae95693437"/>
    <w:p>
      <w:pPr>
        <w:pStyle w:val="Heading2"/>
      </w:pPr>
      <w:r>
        <w:t xml:space="preserve">2. Functional requirements</w:t>
      </w:r>
    </w:p>
    <w:p>
      <w:pPr>
        <w:pStyle w:val="FirstParagraph"/>
      </w:pPr>
      <w:r>
        <w:t xml:space="preserve">FR-G-1 accept human-authored plan · FR-G-2 branched plans · FR-G-3 probability-of-success (action/branch/whole) · FR-G-4 cascade 2nd/3rd-order + collateral · FR-G-5 humanoid/drone/vehicle behaviour models (simulate, never command) · FR-G-6 coordination/timing/deconfliction · FR-G-7 projected SUM before authorisation · FR-G-8 compare alternative plans · FR-G-9 assumptions+evidence+uncertainty on every projection · FR-G-10 oversight live monitor · FR-G-11 intervene (pause/adjust/rescope/reject) · FR-G-12 immediate HALT always available · FR-G-13 audited dissent/override · FR-G-14 PQ-signed projection audit.</w:t>
      </w:r>
    </w:p>
    <w:bookmarkEnd w:id="21"/>
    <w:bookmarkStart w:id="22" w:name="X08d4f3635ed59b138e4178c74a2fcea40ddf42b"/>
    <w:p>
      <w:pPr>
        <w:pStyle w:val="Heading2"/>
      </w:pPr>
      <w:r>
        <w:t xml:space="preserve">3. Non-functional requirements</w:t>
      </w:r>
    </w:p>
    <w:p>
      <w:pPr>
        <w:pStyle w:val="FirstParagraph"/>
      </w:pPr>
      <w:r>
        <w:t xml:space="preserve">NFR-G-1 hermetic sandbox: no egress to real assets, no execution interface in binary (impossible by construction) · NFR-G-2 read-only world-model copy · NFR-G-3 effect/cyber at planning-level abstraction; no fire-control/weapon-employment/exploit logic · NFR-G-4 PQ crypto throughout · NFR-G-5 air-gap/on-device · NFR-G-6 reproducible projections · NFR-G-7 simulation indelibly distinguished, never promoted · NFR-G-8 admin-governed, dual-control.</w:t>
      </w:r>
    </w:p>
    <w:bookmarkEnd w:id="22"/>
    <w:bookmarkStart w:id="44" w:name="X49d85ed05049f3467ae83842bcf00aa8cf77c12"/>
    <w:p>
      <w:pPr>
        <w:pStyle w:val="Heading2"/>
      </w:pPr>
      <w:r>
        <w:t xml:space="preserve">4.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reads a read-only picture copy, reasons with Mimir, projects to the planner, governed by admin; dashed line to Heimdall (informs the human who may authorise via Heimdall's human-gate — Gungnir has no path to action).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Containers:</w:t>
      </w:r>
      <w:r>
        <w:t xml:space="preserve"> </w:t>
      </w:r>
      <w:r>
        <w:t xml:space="preserve">plan modeller, probability engine (Monte Carlo/branch), cascade projector, world-model copy, effect/cyber abstraction layer — all inside the hermetic sandbox; PQ-signed audit ledger outside.</w:t>
      </w:r>
    </w:p>
    <w:p>
      <w:pPr>
        <w:pStyle w:val="FirstParagraph"/>
      </w:pPr>
      <w:r>
        <w:drawing>
          <wp:inline>
            <wp:extent cx="6210300" cy="2557710"/>
            <wp:effectExtent b="0" l="0" r="0" t="0"/>
            <wp:docPr descr="Context" title="" id="24" name="Picture"/>
            <a:graphic>
              <a:graphicData uri="http://schemas.openxmlformats.org/drawingml/2006/picture">
                <pic:pic>
                  <pic:nvPicPr>
                    <pic:cNvPr descr="/home/user/midgard-app/docs/dev/diagrams/gn_c4_contex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210300" cy="5869684"/>
            <wp:effectExtent b="0" l="0" r="0" t="0"/>
            <wp:docPr descr="Containers" title="" id="27" name="Picture"/>
            <a:graphic>
              <a:graphicData uri="http://schemas.openxmlformats.org/drawingml/2006/picture">
                <pic:pic>
                  <pic:nvPicPr>
                    <pic:cNvPr descr="/home/user/midgard-app/docs/dev/diagrams/gn_c4_contain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86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the-sandbox-deep-dive--three-gates"/>
    <w:p>
      <w:pPr>
        <w:pStyle w:val="Heading3"/>
      </w:pPr>
      <w:r>
        <w:t xml:space="preserve">The sandbox (deep dive) — three gates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G1 No egress:</w:t>
      </w:r>
      <w:r>
        <w:t xml:space="preserve"> </w:t>
      </w:r>
      <w:r>
        <w:t xml:space="preserve">no network route to any real asset (enforced at infrastructure boundary).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G2 No execution interface:</w:t>
      </w:r>
      <w:r>
        <w:t xml:space="preserve"> </w:t>
      </w:r>
      <w:r>
        <w:t xml:space="preserve">no API/call/path by which a projection becomes a command — absent, not disabled.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G3 Outputs are data:</w:t>
      </w:r>
      <w:r>
        <w:t xml:space="preserve"> </w:t>
      </w:r>
      <w:r>
        <w:t xml:space="preserve">projections are outcome trees; there is no command type in the schema.</w:t>
      </w:r>
    </w:p>
    <w:p>
      <w:pPr>
        <w:pStyle w:val="FirstParagraph"/>
      </w:pPr>
      <w:r>
        <w:t xml:space="preserve">Read-only versioned world-model (can't mutate live picture/fabric). Reproducible (inputs+seed → same tree). Abstraction layer keeps effects/cyber at planning granularity — harmful specifics are</w:t>
      </w:r>
      <w:r>
        <w:t xml:space="preserve"> </w:t>
      </w:r>
      <w:r>
        <w:rPr>
          <w:iCs/>
          <w:i/>
        </w:rPr>
        <w:t xml:space="preserve">not represented at all</w:t>
      </w:r>
      <w:r>
        <w:t xml:space="preserve">, not stored at reduced fidelity.</w:t>
      </w:r>
    </w:p>
    <w:p>
      <w:pPr>
        <w:pStyle w:val="BodyText"/>
      </w:pPr>
      <w:r>
        <w:drawing>
          <wp:inline>
            <wp:extent cx="6210300" cy="9326880"/>
            <wp:effectExtent b="0" l="0" r="0" t="0"/>
            <wp:docPr descr="Sandbox" title="" id="30" name="Picture"/>
            <a:graphic>
              <a:graphicData uri="http://schemas.openxmlformats.org/drawingml/2006/picture">
                <pic:pic>
                  <pic:nvPicPr>
                    <pic:cNvPr descr="/home/user/midgard-app/docs/dev/diagrams/gn_sandbox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32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210300" cy="1140667"/>
            <wp:effectExtent b="0" l="0" r="0" t="0"/>
            <wp:docPr descr="Outcome tree" title="" id="33" name="Picture"/>
            <a:graphic>
              <a:graphicData uri="http://schemas.openxmlformats.org/drawingml/2006/picture">
                <pic:pic>
                  <pic:nvPicPr>
                    <pic:cNvPr descr="/home/user/midgard-app/docs/dev/diagrams/gn_outcome_tre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4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multi-asset-models-not-control"/>
    <w:p>
      <w:pPr>
        <w:pStyle w:val="Heading3"/>
      </w:pPr>
      <w:r>
        <w:t xml:space="preserve">Multi-asset (models, not control)</w:t>
      </w:r>
    </w:p>
    <w:p>
      <w:pPr>
        <w:pStyle w:val="FirstParagraph"/>
      </w:pPr>
      <w:r>
        <w:t xml:space="preserve">Humanoid/drone/vehicle behaviour models predict what an asset WOULD do under a human-authorised plan; Gungnir issues no commands. "A drone could hold this orbit 40 min" is planning knowledge, categorically different from an interface that flies the drone.</w:t>
      </w:r>
    </w:p>
    <w:p>
      <w:pPr>
        <w:pStyle w:val="BodyText"/>
      </w:pPr>
      <w:r>
        <w:drawing>
          <wp:inline>
            <wp:extent cx="6210300" cy="4581033"/>
            <wp:effectExtent b="0" l="0" r="0" t="0"/>
            <wp:docPr descr="Multi-asset" title="" id="37" name="Picture"/>
            <a:graphic>
              <a:graphicData uri="http://schemas.openxmlformats.org/drawingml/2006/picture">
                <pic:pic>
                  <pic:nvPicPr>
                    <pic:cNvPr descr="/home/user/midgard-app/docs/dev/diagrams/gn_multiasse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58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6180c1a1bed7b342e3b9ae2494d9ba754ae4b35"/>
    <w:p>
      <w:pPr>
        <w:pStyle w:val="Heading3"/>
      </w:pPr>
      <w:r>
        <w:t xml:space="preserve">Oversight console (deep dive) — meaningful human control</w:t>
      </w:r>
    </w:p>
    <w:p>
      <w:pPr>
        <w:pStyle w:val="FirstParagraph"/>
      </w:pPr>
      <w:r>
        <w:t xml:space="preserve">Live monitor · explainability panel (assumptions/evidence/uncertainty) · intervene (pause/adjust/rescope/reject) · unconditional HALT · audited dissent. Principles: legibility over automation; intervention always available; dissent first-class; the operator is not automatable. Designed against oversight-as-theatre.</w:t>
      </w:r>
    </w:p>
    <w:p>
      <w:pPr>
        <w:pStyle w:val="BodyText"/>
      </w:pPr>
      <w:r>
        <w:drawing>
          <wp:inline>
            <wp:extent cx="6210300" cy="1568580"/>
            <wp:effectExtent b="0" l="0" r="0" t="0"/>
            <wp:docPr descr="Oversight" title="" id="41" name="Picture"/>
            <a:graphic>
              <a:graphicData uri="http://schemas.openxmlformats.org/drawingml/2006/picture">
                <pic:pic>
                  <pic:nvPicPr>
                    <pic:cNvPr descr="/home/user/midgard-app/docs/dev/diagrams/gn_oversigh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56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8" w:name="Xacc792e09900f2c6b3000ffd9c8614d9559bd00"/>
    <w:p>
      <w:pPr>
        <w:pStyle w:val="Heading2"/>
      </w:pPr>
      <w:r>
        <w:t xml:space="preserve">5. Security</w:t>
      </w:r>
    </w:p>
    <w:p>
      <w:pPr>
        <w:pStyle w:val="FirstParagraph"/>
      </w:pPr>
      <w:r>
        <w:t xml:space="preserve">STRIDE DFD with PQ controls.</w:t>
      </w:r>
      <w:r>
        <w:t xml:space="preserve"> </w:t>
      </w:r>
      <w:r>
        <w:rPr>
          <w:bCs/>
          <w:b/>
        </w:rPr>
        <w:t xml:space="preserve">Security case:</w:t>
      </w:r>
      <w:r>
        <w:t xml:space="preserve"> </w:t>
      </w:r>
      <w:r>
        <w:t xml:space="preserve">worst-case compromise is a manipulated projection — bad advice to a human who still authorises every real action elsewhere. Blast radius bounded at "wrong forecast", not "an action occurred", because Gungnir has no means to act.</w:t>
      </w:r>
    </w:p>
    <w:p>
      <w:pPr>
        <w:pStyle w:val="BodyText"/>
      </w:pPr>
      <w:r>
        <w:drawing>
          <wp:inline>
            <wp:extent cx="6210300" cy="736680"/>
            <wp:effectExtent b="0" l="0" r="0" t="0"/>
            <wp:docPr descr="Threat DFD" title="" id="46" name="Picture"/>
            <a:graphic>
              <a:graphicData uri="http://schemas.openxmlformats.org/drawingml/2006/picture">
                <pic:pic>
                  <pic:nvPicPr>
                    <pic:cNvPr descr="/home/user/midgard-app/docs/dev/diagrams/gn_threat_df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3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Known gaps:</w:t>
      </w:r>
      <w:r>
        <w:t xml:space="preserve"> </w:t>
      </w:r>
      <w:r>
        <w:t xml:space="preserve">manipulated projection (→ explainability+uncertainty+dissent+reproducible audit+red-team); automation bias (→ mandatory uncertainty, alternative comparison, training); abstraction-layer scope creep (→ design-review gate refuses any fire-control/exploit fidelity).</w:t>
      </w:r>
    </w:p>
    <w:bookmarkEnd w:id="48"/>
    <w:bookmarkStart w:id="49" w:name="X2d89fa6da9914cd87da9539e33f1a8ba13a5785"/>
    <w:p>
      <w:pPr>
        <w:pStyle w:val="Heading2"/>
      </w:pPr>
      <w:r>
        <w:t xml:space="preserve">6. Prompts (extend SAD_05 Part 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A.G-1 Plan projector:</w:t>
      </w:r>
      <w:r>
        <w:t xml:space="preserve"> </w:t>
      </w:r>
      <w:r>
        <w:t xml:space="preserve">projects branch outcomes with assumptions/uncertainty; planning-level only; refuses execution (PROJECTION_ONLY); surfaces collateral.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A.G-2 Cascade analyst:</w:t>
      </w:r>
      <w:r>
        <w:t xml:space="preserve"> </w:t>
      </w:r>
      <w:r>
        <w:t xml:space="preserve">explains 2nd/3rd-order effects; planning-level; recommends nothing.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A.G-3 Oversight monitor:</w:t>
      </w:r>
      <w:r>
        <w:t xml:space="preserve"> </w:t>
      </w:r>
      <w:r>
        <w:t xml:space="preserve">makes a run legible for the operator; always states HALT/intervene available; supports dissent, never argues the operator out of it.</w:t>
      </w:r>
    </w:p>
    <w:p>
      <w:pPr>
        <w:pStyle w:val="FirstParagraph"/>
      </w:pPr>
      <w:r>
        <w:t xml:space="preserve">All emit contract-validated JSON with citations+uncertainty, in Mimir's advisory envelope. Cross-cutting Eval EV-G-INV: no phrasing across any prompt executes, commands an asset, or emits fire-control/exploit logic.</w:t>
      </w:r>
    </w:p>
    <w:bookmarkEnd w:id="49"/>
    <w:bookmarkStart w:id="50" w:name="Xb8816fc27846b6a7f4436fea3de500efb4a7252"/>
    <w:p>
      <w:pPr>
        <w:pStyle w:val="Heading2"/>
      </w:pPr>
      <w:r>
        <w:t xml:space="preserve">7. Acceptance criteria</w:t>
      </w:r>
    </w:p>
    <w:p>
      <w:pPr>
        <w:pStyle w:val="FirstParagraph"/>
      </w:pPr>
      <w:r>
        <w:t xml:space="preserve">AC-G-1..20 covering: linear+branched projection with cited assumptions; mandatory uncertainty; collateral surfaced; multi-asset modelled-not-commanded; coordination; projected SUM before authorisation; alternative comparison;</w:t>
      </w:r>
      <w:r>
        <w:t xml:space="preserve"> </w:t>
      </w:r>
      <w:r>
        <w:rPr>
          <w:bCs/>
          <w:b/>
        </w:rPr>
        <w:t xml:space="preserve">sandbox has no egress + no execution interface (AC-G-9); read-only world-model (AC-G-10); planning-level abstractions only, no fire-control/exploit (AC-G-11); reproducible (AC-G-12); indelibly simulated (AC-G-13);</w:t>
      </w:r>
      <w:r>
        <w:t xml:space="preserve"> </w:t>
      </w:r>
      <w:r>
        <w:t xml:space="preserve">PQ audit; oversight monitor/intervene/</w:t>
      </w:r>
      <w:r>
        <w:rPr>
          <w:bCs/>
          <w:b/>
        </w:rPr>
        <w:t xml:space="preserve">unconditional HALT (AC-G-17)</w:t>
      </w:r>
      <w:r>
        <w:t xml:space="preserve">/audited dissent;</w:t>
      </w:r>
      <w:r>
        <w:t xml:space="preserve"> </w:t>
      </w:r>
      <w:r>
        <w:rPr>
          <w:bCs/>
          <w:b/>
        </w:rPr>
        <w:t xml:space="preserve">adversarial no-execution proof (AC-G-19);</w:t>
      </w:r>
      <w:r>
        <w:t xml:space="preserve"> </w:t>
      </w:r>
      <w:r>
        <w:t xml:space="preserve">air-gapped operation.</w:t>
      </w:r>
    </w:p>
    <w:bookmarkEnd w:id="50"/>
    <w:bookmarkStart w:id="51" w:name="X44d465f7de66b80593943efa8ceb87953ed557d"/>
    <w:p>
      <w:pPr>
        <w:pStyle w:val="Heading2"/>
      </w:pPr>
      <w:r>
        <w:t xml:space="preserve">8. Integration &amp; delivery</w:t>
      </w:r>
    </w:p>
    <w:p>
      <w:pPr>
        <w:pStyle w:val="FirstParagraph"/>
      </w:pPr>
      <w:r>
        <w:t xml:space="preserve">Heimdall (read-only copy; no execution path added) · Mimir advisory + SAD_02b model supply · SAD_06 client shells · SAD_07 dual-control governance incl. abstraction-layer changes · A.G-1..3 + AC-G-1..20 join SAD_05 (</w:t>
      </w:r>
      <w:r>
        <w:rPr>
          <w:bCs/>
          <w:b/>
        </w:rPr>
        <w:t xml:space="preserve">consolidated ACs 92 → 112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Delivery sequence:</w:t>
      </w:r>
      <w:r>
        <w:t xml:space="preserve"> </w:t>
      </w:r>
      <w:r>
        <w:t xml:space="preserve">sandbox + world-model copy (safety foundation) → projection engine → multi-asset models → oversight console → abstraction-layer review gate + full Eval/acceptance suite. Each capability lands with its safety control.</w:t>
      </w:r>
    </w:p>
    <w:p>
      <w:pPr>
        <w:pStyle w:val="BodyText"/>
      </w:pPr>
      <w:r>
        <w:rPr>
          <w:bCs/>
          <w:b/>
        </w:rPr>
        <w:t xml:space="preserve">Closing:</w:t>
      </w:r>
      <w:r>
        <w:t xml:space="preserve"> </w:t>
      </w:r>
      <w:r>
        <w:t xml:space="preserve">Gungnir is the sharpest decision-support in the suite — it lets a human see the whole consequence of a plan before committing to any part. Powerful because bounded: it forecasts reality without touching it. The spear that never misses is guided by foresight, not autonomy.</w:t>
      </w:r>
    </w:p>
    <w:bookmarkEnd w:id="51"/>
    <w:sectPr w:rsidR="00FC693F" w:rsidRPr="0006063C" w:rsidSect="00034616">
      <w:headerReference r:id="rId9" w:type="default"/>
      <w:footerReference r:id="rId10" w:type="default"/>
      <w:pgSz w:h="15840" w:w="12240"/>
      <w:pgMar w:bottom="1152" w:footer="720" w:gutter="0" w:header="720" w:left="1224" w:right="1224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/>
    <w:r>
      <w:rPr>
        <w:rFonts w:ascii="Calibri" w:hAnsi="Calibri"/>
        <w:color w:val="595959"/>
        <w:sz w:val="14"/>
      </w:rPr>
      <w:t>Veldris Ltd · Company no. 17366869 · PUBLIC</w:t>
    </w:r>
    <w:r>
      <w:tab/>
      <w:tab/>
    </w:r>
    <w:r>
      <w:rPr>
        <w:color w:val="595959"/>
        <w:sz w:val="14"/>
      </w:rPr>
      <w:t xml:space="preserve">Page </w:t>
    </w:r>
    <w:r>
      <w:rPr>
        <w:color w:val="595959"/>
        <w:sz w:val="14"/>
      </w:rP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of </w:t>
    </w:r>
    <w:r>
      <w:rPr>
        <w:color w:val="595959"/>
        <w:sz w:val="14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959"/>
        <w:sz w:val="16"/>
      </w:rPr>
      <w:t>Midgard Suite — Gungnir (Solutions Architecture Document)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4884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168BD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A1A1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29" Target="media/rId2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Midgard Suite — Gungnir (Solutions Architecture Document)</dc:title>
  <dc:creator>Veldris Ltd</dc:creator>
  <dc:subject>Midgard Suite, PUBLIC</dc:subject>
  <cp:keywords/>
  <dcterms:created xsi:type="dcterms:W3CDTF">2026-10-24T13:17:02Z</dcterms:created>
  <dcterms:modified xsi:type="dcterms:W3CDTF">2026-10-24T13:17:02Z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