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rId34.png" ContentType="image/png"/>
  <Override PartName="/word/media/rId38.png" ContentType="image/png"/>
  <Override PartName="/word/media/rId30.png" ContentType="image/png"/>
  <Override PartName="/word/media/rId21.png" ContentType="image/png"/>
  <Override PartName="/word/media/rId42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Midgard Suite — Forseti (Gungnir Assurance Addendum)</w:t>
      </w:r>
    </w:p>
    <w:p>
      <w:pPr>
        <w:pStyle w:val="Author"/>
      </w:pPr>
      <w:r>
        <w:t xml:space="preserve">Veldris Ltd</w:t>
      </w:r>
    </w:p>
    <w:p>
      <w:pPr>
        <w:pStyle w:val="FirstParagraph"/>
      </w:pPr>
      <w:r>
        <w:rPr>
          <w:iCs/>
          <w:i/>
        </w:rPr>
        <w:t xml:space="preserve">Forecast-integrity monitoring · integrity-confidence feedback · asset-centric force-protection geometry</w:t>
      </w:r>
    </w:p>
    <w:p>
      <w:pPr>
        <w:pStyle w:val="BodyText"/>
      </w:pPr>
      <w:r>
        <w:rPr>
          <w:bCs/>
          <w:b/>
        </w:rPr>
        <w:t xml:space="preserve">Module:</w:t>
      </w:r>
      <w:r>
        <w:t xml:space="preserve"> </w:t>
      </w:r>
      <w:r>
        <w:t xml:space="preserve">Forseti — addendum to SAD_08 (Gungnir) ·</w:t>
      </w:r>
      <w:r>
        <w:t xml:space="preserve"> </w:t>
      </w:r>
      <w:r>
        <w:rPr>
          <w:bCs/>
          <w:b/>
        </w:rPr>
        <w:t xml:space="preserve">Methodology:</w:t>
      </w:r>
      <w:r>
        <w:t xml:space="preserve"> </w:t>
      </w:r>
      <w:r>
        <w:t xml:space="preserve">Imhotep (arc42 + TOGAF + C4)</w:t>
      </w:r>
      <w:r>
        <w:t xml:space="preserve"> </w:t>
      </w:r>
      <w:r>
        <w:rPr>
          <w:bCs/>
          <w:b/>
        </w:rPr>
        <w:t xml:space="preserve">New:</w:t>
      </w:r>
      <w:r>
        <w:t xml:space="preserve"> </w:t>
      </w:r>
      <w:r>
        <w:t xml:space="preserve">FR-F-1..14, NFR-F-1..6, AC-F-1..18, prompts A.F-1..3 ·</w:t>
      </w:r>
      <w:r>
        <w:t xml:space="preserve"> </w:t>
      </w:r>
      <w:r>
        <w:rPr>
          <w:bCs/>
          <w:b/>
        </w:rPr>
        <w:t xml:space="preserve">v1.0.0</w:t>
      </w:r>
      <w:r>
        <w:t xml:space="preserve"> </w:t>
      </w:r>
      <w:r>
        <w:t xml:space="preserve">· PUBLIC, published with the Midgard repository</w:t>
      </w:r>
    </w:p>
    <w:p>
      <w:pPr>
        <w:pStyle w:val="BlockText"/>
      </w:pPr>
      <w:r>
        <w:rPr>
          <w:bCs/>
          <w:b/>
        </w:rPr>
        <w:t xml:space="preserve">WHY FORSETI EXISTS.</w:t>
      </w:r>
      <w:r>
        <w:t xml:space="preserve"> </w:t>
      </w:r>
      <w:r>
        <w:t xml:space="preserve">Gungnir walls off execution, so its highest-value attack surface becomes the forecast itself and the human who consumes it. Forseti hardens that surface: an independent AI monitoring Gungnir's projections for manipulation/drift/unearned confidence; a feedback path so suspect forecasts are visibly flagged, never silently trusted; and asset-centric force-protection geometry so an operator is warned when something is near, or has line-of-sight to, a protected asset.</w:t>
      </w:r>
    </w:p>
    <w:p>
      <w:pPr>
        <w:pStyle w:val="BlockText"/>
      </w:pPr>
      <w:r>
        <w:rPr>
          <w:bCs/>
          <w:b/>
        </w:rPr>
        <w:t xml:space="preserve">THE LINE.</w:t>
      </w:r>
      <w:r>
        <w:t xml:space="preserve"> </w:t>
      </w:r>
      <w:r>
        <w:t xml:space="preserve">Forseti's subject is always an ASSET, the GEOMETRY of the environment, or the SYSTEM's own forecast. It NEVER scores, judges, watches, or profiles a person. No flagging humans for watch, no positional/individual behavioural threat-scoring, no inference of any person's gaze/attention/intent. Force protection is spatial fact ('an entity is within X m of the asset, closing on this bearing; these vantage points have line-of-sight to it') handed to a human who looks and decides. Situational awareness, not automated suspicion.</w:t>
      </w:r>
    </w:p>
    <w:p>
      <w:pPr>
        <w:pStyle w:val="FirstParagraph"/>
      </w:pPr>
      <w:r>
        <w:rPr>
          <w:bCs/>
          <w:b/>
        </w:rPr>
        <w:t xml:space="preserve">On the name.</w:t>
      </w:r>
      <w:r>
        <w:t xml:space="preserve"> </w:t>
      </w:r>
      <w:r>
        <w:t xml:space="preserve">Forseti is the Norse god of justice, truth, and reconciliation — the one who presides and delivers fair judgment. It fits the module's core function precisely: rendering a verdict on whether a forecast is honest (PASS / SUSPECT / COMPROMISED). Where Heimdall is the watchman who sees, Forseti is the judge who decides whether what is presented is sound. Aligns with the platform's Norse convention (Midgard, Mimir, Bifrost, Heimdall, Gungnir).</w:t>
      </w:r>
    </w:p>
    <w:bookmarkStart w:id="20" w:name="Xade09fa508f2b37e5752992845b8e1623c99fcd"/>
    <w:p>
      <w:pPr>
        <w:pStyle w:val="Heading2"/>
      </w:pPr>
      <w:r>
        <w:t xml:space="preserve">1. The three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Projection-integrity monitoring</w:t>
      </w:r>
      <w:r>
        <w:t xml:space="preserve"> </w:t>
      </w:r>
      <w:r>
        <w:t xml:space="preserve">— independent oversight-AI (own model, separate trust boundary) checks every projection vs the reproducible baseline and cited snapshot; flags, down-weights, or HALTs, but never acts. (FR-F-1..6)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Integrity-confidence feedback</w:t>
      </w:r>
      <w:r>
        <w:t xml:space="preserve"> </w:t>
      </w:r>
      <w:r>
        <w:t xml:space="preserve">— the verdict flows back so a suspect forecast is presented flagged with reasons, never silently trusted. (FR-F-7/8)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Asset-centric force-protection geometry</w:t>
      </w:r>
      <w:r>
        <w:t xml:space="preserve"> </w:t>
      </w:r>
      <w:r>
        <w:t xml:space="preserve">— proximity + closing-geometry alerts plus asset/environment viewshed; all spatial, all human-gated. (FR-F-9..12)</w:t>
      </w:r>
    </w:p>
    <w:p>
      <w:pPr>
        <w:pStyle w:val="FirstParagraph"/>
      </w:pPr>
      <w:r>
        <w:rPr>
          <w:bCs/>
          <w:b/>
        </w:rPr>
        <w:t xml:space="preserve">Independence (DD-F1):</w:t>
      </w:r>
      <w:r>
        <w:t xml:space="preserve"> </w:t>
      </w:r>
      <w:r>
        <w:t xml:space="preserve">a monitor sharing Gungnir's model/trust boundary would fall to the same attack it guards against. Forseti's monitor is separate model, separate boundary, own audit. Compromising Gungnir doesn't compromise its watchdog.</w:t>
      </w:r>
    </w:p>
    <w:bookmarkEnd w:id="20"/>
    <w:bookmarkStart w:id="27" w:name="X6b51e360b2f782acc2def2c9eb51a29a4adc572"/>
    <w:p>
      <w:pPr>
        <w:pStyle w:val="Heading2"/>
      </w:pPr>
      <w:r>
        <w:t xml:space="preserve">2. The line, explicitly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Forseti DOES (subject = asset/geometry/system)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Forseti NEVER does (subject = a person)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 forecast integrity; down-weight/flag suspect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any human as a threat/risk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 viewshed: which vantage points can see the 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people for watch by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Proximity + closing-geometry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Positional/individual behavioural profiling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/ blind-spot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 any person's gaze/attention/intent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Sensor/asset facing + field-of-regard (own platforms)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 a specific operator's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Tracked-object bearing (kinematics)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execution / weapon control / offensive cyber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Role-level (situational) human-factors guardrails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human behavioural modelling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 in one line:</w:t>
      </w:r>
      <w:r>
        <w:t xml:space="preserve"> </w:t>
      </w:r>
      <w:r>
        <w:t xml:space="preserve">Forseti tells a human "something is near your asset — look". It never tells a human "that person is probably a problem — watch them". First is situational awareness; second is out of scope by design.</w:t>
      </w:r>
    </w:p>
    <w:p>
      <w:pPr>
        <w:pStyle w:val="BodyText"/>
      </w:pPr>
      <w:r>
        <w:drawing>
          <wp:inline>
            <wp:extent cx="6210300" cy="33256724"/>
            <wp:effectExtent b="0" l="0" r="0" t="0"/>
            <wp:docPr descr="Scope line" title="" id="22" name="Picture"/>
            <a:graphic>
              <a:graphicData uri="http://schemas.openxmlformats.org/drawingml/2006/picture">
                <pic:pic>
                  <pic:nvPicPr>
                    <pic:cNvPr descr="/home/user/midgard-app/docs/dev/diagrams/fs_scope_li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325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6210300" cy="3184363"/>
            <wp:effectExtent b="0" l="0" r="0" t="0"/>
            <wp:docPr descr="Context" title="" id="25" name="Picture"/>
            <a:graphic>
              <a:graphicData uri="http://schemas.openxmlformats.org/drawingml/2006/picture">
                <pic:pic>
                  <pic:nvPicPr>
                    <pic:cNvPr descr="/home/user/midgard-app/docs/dev/diagrams/fs_contex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18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Xe7303fedc1caa0f98a54d3d573fddb57a70f32c"/>
    <w:p>
      <w:pPr>
        <w:pStyle w:val="Heading2"/>
      </w:pPr>
      <w:r>
        <w:t xml:space="preserve">3. Functional requirements</w:t>
      </w:r>
    </w:p>
    <w:p>
      <w:pPr>
        <w:pStyle w:val="FirstParagraph"/>
      </w:pPr>
      <w:r>
        <w:t xml:space="preserve">FR-F-1 independent monitor (own model/boundary) · FR-F-2 reproducibility check · FR-F-3 evidence reconciliation · FR-F-4 confidence calibration · FR-F-5 drift/anomaly · FR-F-6 assumption-tamper · FR-F-7 verdict PASS/SUSPECT/COMPROMISED (down-weight/halt+alert) · FR-F-8 integrity-confidence feedback (never silently trusted) · FR-F-9 asset viewshed · FR-F-10 proximity + closing geometry (kinematics) · FR-F-11 coverage/blind-spots + field-of-regard · FR-F-12 asset-centric facts to human, no disposition against any person · FR-F-13 role-level (situational, non-individual) human-factors · FR-F-14 PQ-signed audit; never acts.</w:t>
      </w:r>
    </w:p>
    <w:bookmarkEnd w:id="28"/>
    <w:bookmarkStart w:id="29" w:name="Xa059f3edd26bb652ad8373400c47e55bfc01b65"/>
    <w:p>
      <w:pPr>
        <w:pStyle w:val="Heading2"/>
      </w:pPr>
      <w:r>
        <w:t xml:space="preserve">4. Non-functional requirements</w:t>
      </w:r>
    </w:p>
    <w:p>
      <w:pPr>
        <w:pStyle w:val="FirstParagraph"/>
      </w:pPr>
      <w:r>
        <w:t xml:space="preserve">NFR-F-1 monitor independence (separate model/boundary/audit; Gungnir compromise ≠ Forseti compromise) · NFR-F-2 no execution interface, no asset path; flags/halts, never acts · NFR-F-3 force-protection on asset/geometry/own-platform/kinematics ONLY; no facility to represent/infer a person's behaviour/gaze/attention/intent · NFR-F-4 human-factors situational/role-level only; no facility to model/identify/predict an individual · NFR-F-5 PQ + air-gap/on-device · NFR-F-6 admin-governed dual-control.</w:t>
      </w:r>
    </w:p>
    <w:bookmarkEnd w:id="29"/>
    <w:bookmarkStart w:id="33" w:name="X0c54e6d762a66dce113bd0ada10e3355901bd4d"/>
    <w:p>
      <w:pPr>
        <w:pStyle w:val="Heading2"/>
      </w:pPr>
      <w:r>
        <w:t xml:space="preserve">5. Integrity monitor</w:t>
      </w:r>
    </w:p>
    <w:p>
      <w:pPr>
        <w:pStyle w:val="FirstParagraph"/>
      </w:pPr>
      <w:r>
        <w:t xml:space="preserve">Five checks (reproducibility, evidence reconciliation, confidence calibration, drift, assumption-tamper) → verdict PASS / SUSPECT (down-weight+flag) / COMPROMISED (HALT+alert). Authority bounded like Gungnir's: flag/down-weight/HALT + alert a human; cannot act, cannot approve, cannot hide a COMPROMISED verdict.</w:t>
      </w:r>
    </w:p>
    <w:p>
      <w:pPr>
        <w:pStyle w:val="BodyText"/>
      </w:pPr>
      <w:r>
        <w:drawing>
          <wp:inline>
            <wp:extent cx="6210300" cy="2748691"/>
            <wp:effectExtent b="0" l="0" r="0" t="0"/>
            <wp:docPr descr="Integrity monitor" title="" id="31" name="Picture"/>
            <a:graphic>
              <a:graphicData uri="http://schemas.openxmlformats.org/drawingml/2006/picture">
                <pic:pic>
                  <pic:nvPicPr>
                    <pic:cNvPr descr="/home/user/midgard-app/docs/dev/diagrams/fs_integrity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748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c10db18cfe5eb52c571d02dc34f2dc94f680636"/>
    <w:p>
      <w:pPr>
        <w:pStyle w:val="Heading2"/>
      </w:pPr>
      <w:r>
        <w:t xml:space="preserve">6. Integrity-confidence feedback</w:t>
      </w:r>
    </w:p>
    <w:p>
      <w:pPr>
        <w:pStyle w:val="FirstParagraph"/>
      </w:pPr>
      <w:r>
        <w:t xml:space="preserve">Integrity score feeds confidence-weighting; SUSPECT projections down-weighted and shown with visible flag + reasons; COMPROMISED halts; the human always sees the integrity assessment.</w:t>
      </w:r>
      <w:r>
        <w:t xml:space="preserve"> </w:t>
      </w:r>
      <w:r>
        <w:rPr>
          <w:bCs/>
          <w:b/>
        </w:rPr>
        <w:t xml:space="preserve">This is the 'feed the probabilities back' idea kept safe: what feeds back is the INTEGRITY of the forecast, not a model of any human.</w:t>
      </w:r>
    </w:p>
    <w:p>
      <w:pPr>
        <w:pStyle w:val="BodyText"/>
      </w:pPr>
      <w:r>
        <w:drawing>
          <wp:inline>
            <wp:extent cx="6210300" cy="831736"/>
            <wp:effectExtent b="0" l="0" r="0" t="0"/>
            <wp:docPr descr="Feedback" title="" id="35" name="Picture"/>
            <a:graphic>
              <a:graphicData uri="http://schemas.openxmlformats.org/drawingml/2006/picture">
                <pic:pic>
                  <pic:nvPicPr>
                    <pic:cNvPr descr="/home/user/midgard-app/docs/dev/diagrams/fs_feedback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31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c5ebb648710793f93e7d2e5a801f6eace077739"/>
    <w:p>
      <w:pPr>
        <w:pStyle w:val="Heading2"/>
      </w:pPr>
      <w:r>
        <w:t xml:space="preserve">7. Force-protection geometry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 viewshed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 points with LoS to the 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+ terrain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Proximity + closing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within distance / approaching on bearing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+ object kinematics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/ blind-spots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own sensors can/can't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sensors + terrain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Field-of-regard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sensor/asset facing +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platforms</w:t>
            </w:r>
          </w:p>
        </w:tc>
      </w:tr>
    </w:tbl>
    <w:p>
      <w:pPr>
        <w:pStyle w:val="BodyText"/>
      </w:pPr>
      <w:r>
        <w:t xml:space="preserve">Example alert: "an unclassified entity is within 80 m of Asset-3 and closing on bearing 210°; it is at a vantage point with line-of-sight to the asset." Operator looks and decides. No threat score, no watch-flag, no judgement of the person.</w:t>
      </w:r>
    </w:p>
    <w:p>
      <w:pPr>
        <w:pStyle w:val="BodyText"/>
      </w:pPr>
      <w:r>
        <w:drawing>
          <wp:inline>
            <wp:extent cx="6210300" cy="3410081"/>
            <wp:effectExtent b="0" l="0" r="0" t="0"/>
            <wp:docPr descr="Force protection" title="" id="39" name="Picture"/>
            <a:graphic>
              <a:graphicData uri="http://schemas.openxmlformats.org/drawingml/2006/picture">
                <pic:pic>
                  <pic:nvPicPr>
                    <pic:cNvPr descr="/home/user/midgard-app/docs/dev/diagrams/fs_forceprotec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410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b13d1181fc026a79e4d4a4e3da77b84861335a"/>
    <w:p>
      <w:pPr>
        <w:pStyle w:val="Heading2"/>
      </w:pPr>
      <w:r>
        <w:t xml:space="preserve">8. Security</w:t>
      </w:r>
    </w:p>
    <w:p>
      <w:pPr>
        <w:pStyle w:val="FirstParagraph"/>
      </w:pPr>
      <w:r>
        <w:drawing>
          <wp:inline>
            <wp:extent cx="6210300" cy="1600102"/>
            <wp:effectExtent b="0" l="0" r="0" t="0"/>
            <wp:docPr descr="Threat DFD" title="" id="43" name="Picture"/>
            <a:graphic>
              <a:graphicData uri="http://schemas.openxmlformats.org/drawingml/2006/picture">
                <pic:pic>
                  <pic:nvPicPr>
                    <pic:cNvPr descr="/home/user/midgard-app/docs/dev/diagrams/fs_threat_dfd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160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Assurance case:</w:t>
      </w:r>
      <w:r>
        <w:t xml:space="preserve"> </w:t>
      </w:r>
      <w:r>
        <w:t xml:space="preserve">to deceive a human, an attacker must defeat Gungnir AND an independent monitor that re-derives the projection, reconciles it against evidence, checks confidence — and can never hide a COMPROMISED verdict. Forseti's own worst case: withhold a warning or raise a false one, never act.</w:t>
      </w:r>
    </w:p>
    <w:p>
      <w:pPr>
        <w:pStyle w:val="BodyText"/>
      </w:pPr>
      <w:r>
        <w:rPr>
          <w:bCs/>
          <w:b/>
        </w:rPr>
        <w:t xml:space="preserve">Known gaps:</w:t>
      </w:r>
      <w:r>
        <w:t xml:space="preserve"> </w:t>
      </w:r>
      <w:r>
        <w:t xml:space="preserve">correlated compromise (→ diverse model lineage + red-team); false safety from a pass (→ verdict is one input; human dissent retained); geometry→behaviour scope creep (→ design-review gate refuses any feature making a person the subject).</w:t>
      </w:r>
    </w:p>
    <w:bookmarkEnd w:id="45"/>
    <w:bookmarkStart w:id="46" w:name="X49a5c44d991aa763007ce5115687147f89c59bd"/>
    <w:p>
      <w:pPr>
        <w:pStyle w:val="Heading2"/>
      </w:pPr>
      <w:r>
        <w:t xml:space="preserve">9. Prompts (extend SAD_05 Part 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A.F-1 Integrity monitor:</w:t>
      </w:r>
      <w:r>
        <w:t xml:space="preserve"> </w:t>
      </w:r>
      <w:r>
        <w:t xml:space="preserve">independent assessment; verdict + reasons; never suppresses COMPROMISED; assesses forecast/system, never a person; refuses action (MONITOR_ONLY).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A.F-2 Force-protection geometry:</w:t>
      </w:r>
      <w:r>
        <w:t xml:space="preserve"> </w:t>
      </w:r>
      <w:r>
        <w:t xml:space="preserve">asset-centric spatial facts only; never describes/infers/scores a person's behaviour/gaze/intent; refuses profiling (GEOMETRY_ONLY).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A.F-3 Role-level human-factors:</w:t>
      </w:r>
      <w:r>
        <w:t xml:space="preserve"> </w:t>
      </w:r>
      <w:r>
        <w:t xml:space="preserve">situational/role over-trust mitigation; never models an individual; refuses prediction of a specific person (SITUATION_ONLY).</w:t>
      </w:r>
    </w:p>
    <w:p>
      <w:pPr>
        <w:pStyle w:val="FirstParagraph"/>
      </w:pPr>
      <w:r>
        <w:t xml:space="preserve">Cross-cutting Eval EV-F-INV: no phrasing across any prompt acts, scores/profiles a person, or infers gaze/intent.</w:t>
      </w:r>
    </w:p>
    <w:bookmarkEnd w:id="46"/>
    <w:bookmarkStart w:id="47" w:name="Xb506786b8f22ab3dac105496323403a20ea394e"/>
    <w:p>
      <w:pPr>
        <w:pStyle w:val="Heading2"/>
      </w:pPr>
      <w:r>
        <w:t xml:space="preserve">10. Acceptance criteria</w:t>
      </w:r>
    </w:p>
    <w:p>
      <w:pPr>
        <w:pStyle w:val="FirstParagraph"/>
      </w:pPr>
      <w:r>
        <w:t xml:space="preserve">AC-F-1..18 covering: independent monitor; five integrity checks; SUSPECT/COMPROMISED with reasons; COMPROMISED never suppressed; suspect down-weighted+flagged; integrity accompanies every projection; asset viewshed; proximity/closing alerts from kinematics; coverage/blind-spots;</w:t>
      </w:r>
      <w:r>
        <w:t xml:space="preserve"> </w:t>
      </w:r>
      <w:r>
        <w:rPr>
          <w:bCs/>
          <w:b/>
        </w:rPr>
        <w:t xml:space="preserve">force-protection raises no disposition/score/watch-flag against any person (AC-F-10); no facility to infer behaviour/gaze/attention/intent (AC-F-11); no facility to model/predict an individual (AC-F-13);</w:t>
      </w:r>
      <w:r>
        <w:t xml:space="preserve"> </w:t>
      </w:r>
      <w:r>
        <w:t xml:space="preserve">no execution interface (AC-F-14); adversarial no-profile/no-act proof (AC-F-16); Gungnir compromise ≠ Forseti compromise (AC-F-17); air-gapped operation.</w:t>
      </w:r>
    </w:p>
    <w:bookmarkEnd w:id="47"/>
    <w:bookmarkStart w:id="48" w:name="Xd26985866480104cec1c5352241ec70ca83173c"/>
    <w:p>
      <w:pPr>
        <w:pStyle w:val="Heading2"/>
      </w:pPr>
      <w:r>
        <w:t xml:space="preserve">11. Integration &amp; delivery</w:t>
      </w:r>
    </w:p>
    <w:p>
      <w:pPr>
        <w:pStyle w:val="FirstParagraph"/>
      </w:pPr>
      <w:r>
        <w:t xml:space="preserve">Monitors Gungnir (SAD_08); force-protection reuses Heimdall viewshed/3D and tracking; independent monitor model via SAD_02b diverse-lineage supply; SAD_07 dual-control governance incl. the geometry/behaviour boundary; A.F-1..3 + AC-F-1..18 join SAD_05 (</w:t>
      </w:r>
      <w:r>
        <w:rPr>
          <w:bCs/>
          <w:b/>
        </w:rPr>
        <w:t xml:space="preserve">consolidated ACs 112 → 130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Delivery sequence:</w:t>
      </w:r>
      <w:r>
        <w:t xml:space="preserve"> </w:t>
      </w:r>
      <w:r>
        <w:t xml:space="preserve">independent integrity monitor → integrity-confidence feedback → asset-centric force-protection geometry → role-level human-factors, with the geometry/behaviour design-review gate in place before any force-protection work begins.</w:t>
      </w:r>
    </w:p>
    <w:p>
      <w:pPr>
        <w:pStyle w:val="BodyText"/>
      </w:pPr>
      <w:r>
        <w:rPr>
          <w:bCs/>
          <w:b/>
        </w:rPr>
        <w:t xml:space="preserve">Closing:</w:t>
      </w:r>
      <w:r>
        <w:t xml:space="preserve"> </w:t>
      </w:r>
      <w:r>
        <w:t xml:space="preserve">Forseti hardens the one surface Gungnir cannot wall off by construction — the forecast and the human who reads it — and adds real force protection without ever making a person its subject. It watches things, and warns humans. It never watches people.</w:t>
      </w:r>
    </w:p>
    <w:bookmarkEnd w:id="48"/>
    <w:sectPr w:rsidR="00FC693F" w:rsidRPr="0006063C" w:rsidSect="00034616">
      <w:headerReference r:id="rId9" w:type="default"/>
      <w:footerReference r:id="rId10" w:type="default"/>
      <w:pgSz w:h="15840" w:w="12240"/>
      <w:pgMar w:bottom="1152" w:footer="720" w:gutter="0" w:header="720" w:left="1224" w:right="1224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jc w:val="left"/>
    </w:pPr>
    <w:r/>
    <w:r>
      <w:rPr>
        <w:rFonts w:ascii="Calibri" w:hAnsi="Calibri"/>
        <w:color w:val="595959"/>
        <w:sz w:val="14"/>
      </w:rPr>
      <w:t>Veldris Ltd · Company no. 17366869 · PUBLIC</w:t>
    </w:r>
    <w:r>
      <w:tab/>
      <w:tab/>
    </w:r>
    <w:r>
      <w:rPr>
        <w:color w:val="595959"/>
        <w:sz w:val="14"/>
      </w:rPr>
      <w:t xml:space="preserve">Page </w:t>
    </w:r>
    <w:r>
      <w:rPr>
        <w:color w:val="595959"/>
        <w:sz w:val="14"/>
      </w:rPr>
      <w:fldChar w:fldCharType="begin"/>
      <w:instrText xml:space="preserve"> PAGE </w:instrText>
      <w:fldChar w:fldCharType="end"/>
    </w:r>
    <w:r>
      <w:rPr>
        <w:color w:val="595959"/>
        <w:sz w:val="14"/>
      </w:rPr>
      <w:t xml:space="preserve"> of </w:t>
    </w:r>
    <w:r>
      <w:rPr>
        <w:color w:val="595959"/>
        <w:sz w:val="14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color w:val="595959"/>
        <w:sz w:val="16"/>
      </w:rPr>
      <w:t>Midgard Suite — Forseti (Gungnir Assurance Addendum)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color w:val="1A1A1A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4884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168BD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A1A1A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Midgard Suite — Forseti (Gungnir Assurance Addendum)</dc:title>
  <dc:creator>Veldris Ltd</dc:creator>
  <dc:subject>Midgard Suite, PUBLIC</dc:subject>
  <cp:keywords/>
  <dcterms:created xsi:type="dcterms:W3CDTF">2026-10-24T13:17:02Z</dcterms:created>
  <dcterms:modified xsi:type="dcterms:W3CDTF">2026-10-24T13:17:02Z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