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Midgard</w:t>
      </w:r>
    </w:p>
    <w:p>
      <w:pPr>
        <w:jc w:val="center"/>
      </w:pPr>
      <w:r>
        <w:rPr>
          <w:i/>
          <w:color w:val="1168BD"/>
          <w:sz w:val="26"/>
        </w:rPr>
        <w:t>Core Platform — the sovereign, post-quantum enclosure for the suite</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Midgard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Midgard</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platform core (Ontology, Foundry substrate, Apollo-managed infrastructure)</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Midgard is the core platform and umbrella suite of a sovereign, open-source, post-quantum-encrypted alternative to Palantir's product family. It is the *enclosure*: the defended trust boundary within which four products operate — Forge (data operations), Mimir (local agentic AI), Bifrost (continuous delivery), and Heimdall (operational fusion). Midgard itself provides the shared substrate every product depends upon: identity, the object/ontology fabric, storage, compute scheduling, governance, and post-quantum cryptography applied by default. </w:t>
      </w:r>
      <w:r>
        <w:rPr>
          <w:rFonts w:ascii="Consolas" w:hAnsi="Consolas"/>
          <w:color w:val="0B4884"/>
          <w:sz w:val="18"/>
        </w:rPr>
        <w:t>[DD-1]</w:t>
      </w:r>
      <w:r>
        <w:rPr>
          <w:sz w:val="21"/>
        </w:rPr>
        <w:t xml:space="preserve"> </w:t>
      </w:r>
      <w:r>
        <w:rPr>
          <w:rFonts w:ascii="Consolas" w:hAnsi="Consolas"/>
          <w:color w:val="0B4884"/>
          <w:sz w:val="18"/>
        </w:rPr>
        <w:t>[DD-6]</w:t>
      </w:r>
      <w:r>
        <w:rPr>
          <w:sz w:val="21"/>
        </w:rPr>
        <w:t xml:space="preserve"> </w:t>
      </w:r>
      <w:r>
        <w:rPr>
          <w:rFonts w:ascii="Consolas" w:hAnsi="Consolas"/>
          <w:color w:val="0B4884"/>
          <w:sz w:val="18"/>
        </w:rPr>
        <w:t>[DD-7]</w:t>
      </w:r>
      <w:r>
        <w:rPr>
          <w:sz w:val="21"/>
        </w:rPr>
      </w:r>
    </w:p>
    <w:p>
      <w:r>
        <w:rPr>
          <w:sz w:val="21"/>
        </w:rPr>
        <w:t xml:space="preserve">This document is a </w:t>
      </w:r>
      <w:r>
        <w:rPr>
          <w:b/>
          <w:sz w:val="21"/>
        </w:rPr>
        <w:t>forward-looking design specification</w:t>
      </w:r>
      <w:r>
        <w:rPr>
          <w:sz w:val="21"/>
        </w:rPr>
        <w:t xml:space="preserve"> for a greenfield system. In keeping with the Imhotep doctrine that no claim be made without provenance, and because there is no repository to cite, every architectural decision here traces to a Design Driver (</w:t>
      </w:r>
      <w:r>
        <w:rPr>
          <w:rFonts w:ascii="Consolas" w:hAnsi="Consolas"/>
          <w:color w:val="0B4884"/>
          <w:sz w:val="18"/>
        </w:rPr>
        <w:t>[DD-n]</w:t>
      </w:r>
      <w:r>
        <w:rPr>
          <w:sz w:val="21"/>
        </w:rPr>
        <w:t>), a numbered requirement (</w:t>
      </w:r>
      <w:r>
        <w:rPr>
          <w:rFonts w:ascii="Consolas" w:hAnsi="Consolas"/>
          <w:color w:val="0B4884"/>
          <w:sz w:val="18"/>
        </w:rPr>
        <w:t>[FR-n]</w:t>
      </w:r>
      <w:r>
        <w:rPr>
          <w:sz w:val="21"/>
        </w:rPr>
        <w:t>/</w:t>
      </w:r>
      <w:r>
        <w:rPr>
          <w:rFonts w:ascii="Consolas" w:hAnsi="Consolas"/>
          <w:color w:val="0B4884"/>
          <w:sz w:val="18"/>
        </w:rPr>
        <w:t>[NFR-n]</w:t>
      </w:r>
      <w:r>
        <w:rPr>
          <w:sz w:val="21"/>
        </w:rPr>
        <w:t>), or an external standard (</w:t>
      </w:r>
      <w:r>
        <w:rPr>
          <w:rFonts w:ascii="Consolas" w:hAnsi="Consolas"/>
          <w:color w:val="0B4884"/>
          <w:sz w:val="18"/>
        </w:rPr>
        <w:t>[STD:...]</w:t>
      </w:r>
      <w:r>
        <w:rPr>
          <w:sz w:val="21"/>
        </w:rPr>
        <w:t>). It describes intended design, not verified implementation.</w:t>
      </w:r>
    </w:p>
    <w:p>
      <w:pPr>
        <w:shd w:val="clear" w:fill="EEF3F8"/>
        <w:pBdr>
          <w:left w:val="single" w:sz="18" w:space="8" w:color="0B4884"/>
        </w:pBdr>
        <w:ind w:left="144"/>
      </w:pPr>
      <w:r>
        <w:rPr>
          <w:sz w:val="21"/>
        </w:rPr>
      </w:r>
      <w:r>
        <w:rPr>
          <w:b/>
          <w:sz w:val="21"/>
        </w:rPr>
        <w:t>What Midgard is.</w:t>
      </w:r>
      <w:r>
        <w:rPr>
          <w:sz w:val="21"/>
        </w:rPr>
        <w:t xml:space="preserve"> A self-hostable, air-gappable operating system for data-and-decision workflows. It unifies fragmented data into a semantic + kinetic object fabric (objects, properties, links; actions, functions, dynamic security), and exposes that fabric to humans and AI agents under one zero-trust, post-quantum security model. Each product is independently useful atop Midgard and compounds in value when combined. </w:t>
      </w:r>
      <w:r>
        <w:rPr>
          <w:rFonts w:ascii="Consolas" w:hAnsi="Consolas"/>
          <w:color w:val="0B4884"/>
          <w:sz w:val="18"/>
        </w:rPr>
        <w:t>[DD-6]</w:t>
      </w:r>
      <w:r>
        <w:rPr>
          <w:sz w:val="21"/>
        </w:rPr>
      </w:r>
    </w:p>
    <w:p>
      <w:pPr>
        <w:pStyle w:val="Heading2"/>
      </w:pPr>
      <w:r>
        <w:t>1.1 Top design facts</w:t>
      </w:r>
    </w:p>
    <w:p>
      <w:pPr>
        <w:pStyle w:val="ListBullet"/>
      </w:pPr>
      <w:r>
        <w:rPr>
          <w:sz w:val="21"/>
        </w:rPr>
      </w:r>
      <w:r>
        <w:rPr>
          <w:b/>
          <w:sz w:val="21"/>
        </w:rPr>
        <w:t>Sovereign by construction.</w:t>
      </w:r>
      <w:r>
        <w:rPr>
          <w:sz w:val="21"/>
        </w:rPr>
        <w:t xml:space="preserve"> No core function requires an outbound network call; the platform runs fully offline / air-gapped. </w:t>
      </w:r>
      <w:r>
        <w:rPr>
          <w:rFonts w:ascii="Consolas" w:hAnsi="Consolas"/>
          <w:color w:val="0B4884"/>
          <w:sz w:val="18"/>
        </w:rPr>
        <w:t>[NFR-PRV-1]</w:t>
      </w:r>
      <w:r>
        <w:rPr>
          <w:sz w:val="21"/>
        </w:rPr>
        <w:t xml:space="preserve"> </w:t>
      </w:r>
      <w:r>
        <w:rPr>
          <w:rFonts w:ascii="Consolas" w:hAnsi="Consolas"/>
          <w:color w:val="0B4884"/>
          <w:sz w:val="18"/>
        </w:rPr>
        <w:t>[DD-7]</w:t>
      </w:r>
      <w:r>
        <w:rPr>
          <w:sz w:val="21"/>
        </w:rPr>
      </w:r>
    </w:p>
    <w:p>
      <w:pPr>
        <w:pStyle w:val="ListBullet"/>
      </w:pPr>
      <w:r>
        <w:rPr>
          <w:sz w:val="21"/>
        </w:rPr>
      </w:r>
      <w:r>
        <w:rPr>
          <w:b/>
          <w:sz w:val="21"/>
        </w:rPr>
        <w:t>Post-quantum by default.</w:t>
      </w:r>
      <w:r>
        <w:rPr>
          <w:sz w:val="21"/>
        </w:rPr>
        <w:t xml:space="preserve"> Hybrid X25519 + ML-KEM-768 in transit; AES-256-GCM under ML-KEM-1024-wrapped keys at rest; ML-DSA / SLH-DSA signatures for all service auth and artefact signing. </w:t>
      </w:r>
      <w:r>
        <w:rPr>
          <w:rFonts w:ascii="Consolas" w:hAnsi="Consolas"/>
          <w:color w:val="0B4884"/>
          <w:sz w:val="18"/>
        </w:rPr>
        <w:t>[NFR-PQ-1]</w:t>
      </w:r>
      <w:r>
        <w:rPr>
          <w:sz w:val="21"/>
        </w:rPr>
        <w:t xml:space="preserve"> </w:t>
      </w:r>
      <w:r>
        <w:rPr>
          <w:rFonts w:ascii="Consolas" w:hAnsi="Consolas"/>
          <w:color w:val="0B4884"/>
          <w:sz w:val="18"/>
        </w:rPr>
        <w:t>[NFR-PQ-2]</w:t>
      </w:r>
      <w:r>
        <w:rPr>
          <w:sz w:val="21"/>
        </w:rPr>
        <w:t xml:space="preserve"> </w:t>
      </w:r>
      <w:r>
        <w:rPr>
          <w:rFonts w:ascii="Consolas" w:hAnsi="Consolas"/>
          <w:color w:val="0B4884"/>
          <w:sz w:val="18"/>
        </w:rPr>
        <w:t>[NFR-PQ-3]</w:t>
      </w:r>
      <w:r>
        <w:rPr>
          <w:sz w:val="21"/>
        </w:rPr>
        <w:t xml:space="preserve"> </w:t>
      </w:r>
      <w:r>
        <w:rPr>
          <w:rFonts w:ascii="Consolas" w:hAnsi="Consolas"/>
          <w:color w:val="0B4884"/>
          <w:sz w:val="18"/>
        </w:rPr>
        <w:t>[STD:NIST FIPS 203/204/205]</w:t>
      </w:r>
      <w:r>
        <w:rPr>
          <w:sz w:val="21"/>
        </w:rPr>
      </w:r>
    </w:p>
    <w:p>
      <w:pPr>
        <w:pStyle w:val="ListBullet"/>
      </w:pPr>
      <w:r>
        <w:rPr>
          <w:sz w:val="21"/>
        </w:rPr>
      </w:r>
      <w:r>
        <w:rPr>
          <w:b/>
          <w:sz w:val="21"/>
        </w:rPr>
        <w:t>Object fabric at the centre.</w:t>
      </w:r>
      <w:r>
        <w:rPr>
          <w:sz w:val="21"/>
        </w:rPr>
        <w:t xml:space="preserve"> A decision-centric semantic layer (the answer to Palantir's Ontology), backed by a horizontally-scalable object store with incremental indexing. </w:t>
      </w:r>
      <w:r>
        <w:rPr>
          <w:rFonts w:ascii="Consolas" w:hAnsi="Consolas"/>
          <w:color w:val="0B4884"/>
          <w:sz w:val="18"/>
        </w:rPr>
        <w:t>[DD-1]</w:t>
      </w:r>
      <w:r>
        <w:rPr>
          <w:sz w:val="21"/>
        </w:rPr>
      </w:r>
    </w:p>
    <w:p>
      <w:pPr>
        <w:pStyle w:val="ListBullet"/>
      </w:pPr>
      <w:r>
        <w:rPr>
          <w:sz w:val="21"/>
        </w:rPr>
      </w:r>
      <w:r>
        <w:rPr>
          <w:b/>
          <w:sz w:val="21"/>
        </w:rPr>
        <w:t>Local AI native.</w:t>
      </w:r>
      <w:r>
        <w:rPr>
          <w:sz w:val="21"/>
        </w:rPr>
        <w:t xml:space="preserve"> The Mimir layer (GLM 5.2) provides all inference in-enclosure; other products call Mimir rather than any hosted LLM. </w:t>
      </w:r>
      <w:r>
        <w:rPr>
          <w:rFonts w:ascii="Consolas" w:hAnsi="Consolas"/>
          <w:color w:val="0B4884"/>
          <w:sz w:val="18"/>
        </w:rPr>
        <w:t>[DD-4]</w:t>
      </w:r>
      <w:r>
        <w:rPr>
          <w:sz w:val="21"/>
        </w:rPr>
      </w:r>
    </w:p>
    <w:p>
      <w:pPr>
        <w:pStyle w:val="ListBullet"/>
      </w:pPr>
      <w:r>
        <w:rPr>
          <w:sz w:val="21"/>
        </w:rPr>
      </w:r>
      <w:r>
        <w:rPr>
          <w:b/>
          <w:sz w:val="21"/>
        </w:rPr>
        <w:t>Open-source core.</w:t>
      </w:r>
      <w:r>
        <w:rPr>
          <w:sz w:val="21"/>
        </w:rPr>
        <w:t xml:space="preserve"> Reproducible builds, CycloneDX SBOM per release, OSI-approved licence for the core. </w:t>
      </w:r>
      <w:r>
        <w:rPr>
          <w:rFonts w:ascii="Consolas" w:hAnsi="Consolas"/>
          <w:color w:val="0B4884"/>
          <w:sz w:val="18"/>
        </w:rPr>
        <w:t>[DD-2]</w:t>
      </w:r>
      <w:r>
        <w:rPr>
          <w:sz w:val="21"/>
        </w:rPr>
        <w:t xml:space="preserve"> </w:t>
      </w:r>
      <w:r>
        <w:rPr>
          <w:rFonts w:ascii="Consolas" w:hAnsi="Consolas"/>
          <w:color w:val="0B4884"/>
          <w:sz w:val="18"/>
        </w:rPr>
        <w:t>[NFR-OSS-1]</w:t>
      </w:r>
      <w:r>
        <w:rPr>
          <w:sz w:val="21"/>
        </w:rPr>
      </w:r>
    </w:p>
    <w:p>
      <w:pPr>
        <w:pStyle w:val="Heading2"/>
      </w:pPr>
      <w:r>
        <w:t>1.2 Top design risks</w:t>
      </w:r>
    </w:p>
    <w:p>
      <w:pPr>
        <w:pStyle w:val="ListBullet"/>
      </w:pPr>
      <w:r>
        <w:rPr>
          <w:sz w:val="21"/>
        </w:rPr>
      </w:r>
      <w:r>
        <w:rPr>
          <w:b/>
          <w:sz w:val="21"/>
        </w:rPr>
        <w:t>PQ performance overhead.</w:t>
      </w:r>
      <w:r>
        <w:rPr>
          <w:sz w:val="21"/>
        </w:rPr>
        <w:t xml:space="preserve"> Larger key/ciphertext sizes and signature costs of ML-KEM/ML-DSA add latency and bandwidth versus classical crypto; mitigated by session resumption, hybrid negotiation, and hardware offload. </w:t>
      </w:r>
      <w:r>
        <w:rPr>
          <w:rFonts w:ascii="Consolas" w:hAnsi="Consolas"/>
          <w:color w:val="0B4884"/>
          <w:sz w:val="18"/>
        </w:rPr>
        <w:t>[NFR-PQ-4]</w:t>
      </w:r>
      <w:r>
        <w:rPr>
          <w:sz w:val="21"/>
        </w:rPr>
      </w:r>
    </w:p>
    <w:p>
      <w:pPr>
        <w:pStyle w:val="ListBullet"/>
      </w:pPr>
      <w:r>
        <w:rPr>
          <w:sz w:val="21"/>
        </w:rPr>
      </w:r>
      <w:r>
        <w:rPr>
          <w:b/>
          <w:sz w:val="21"/>
        </w:rPr>
        <w:t>Model-supply sovereignty.</w:t>
      </w:r>
      <w:r>
        <w:rPr>
          <w:sz w:val="21"/>
        </w:rPr>
        <w:t xml:space="preserve"> Local GLM 5.2 weights must be acquired, verified, and updated without a hosted dependency; mitigated by signed model artefacts distributed through Bifrost. </w:t>
      </w:r>
      <w:r>
        <w:rPr>
          <w:rFonts w:ascii="Consolas" w:hAnsi="Consolas"/>
          <w:color w:val="0B4884"/>
          <w:sz w:val="18"/>
        </w:rPr>
        <w:t>[DD-4]</w:t>
      </w:r>
      <w:r>
        <w:rPr>
          <w:sz w:val="21"/>
        </w:rPr>
        <w:t xml:space="preserve"> </w:t>
      </w:r>
      <w:r>
        <w:rPr>
          <w:rFonts w:ascii="Consolas" w:hAnsi="Consolas"/>
          <w:color w:val="0B4884"/>
          <w:sz w:val="18"/>
        </w:rPr>
        <w:t>[DD-7]</w:t>
      </w:r>
      <w:r>
        <w:rPr>
          <w:sz w:val="21"/>
        </w:rPr>
      </w:r>
    </w:p>
    <w:p>
      <w:pPr>
        <w:pStyle w:val="ListBullet"/>
      </w:pPr>
      <w:r>
        <w:rPr>
          <w:sz w:val="21"/>
        </w:rPr>
      </w:r>
      <w:r>
        <w:rPr>
          <w:b/>
          <w:sz w:val="21"/>
        </w:rPr>
        <w:t>Ontology sprawl.</w:t>
      </w:r>
      <w:r>
        <w:rPr>
          <w:sz w:val="21"/>
        </w:rPr>
        <w:t xml:space="preserve"> A powerful object fabric can accrete inconsistent modelling; mitigated by shared property types, interfaces, and governed change management. </w:t>
      </w:r>
      <w:r>
        <w:rPr>
          <w:rFonts w:ascii="Consolas" w:hAnsi="Consolas"/>
          <w:color w:val="0B4884"/>
          <w:sz w:val="18"/>
        </w:rPr>
        <w:t>[DD-1]</w:t>
      </w:r>
      <w:r>
        <w:rPr>
          <w:sz w:val="21"/>
        </w:rPr>
      </w:r>
    </w:p>
    <w:p>
      <w:pPr>
        <w:pStyle w:val="Heading1"/>
      </w:pPr>
      <w:r>
        <w:t>2. Introduction &amp; Scope</w:t>
      </w:r>
    </w:p>
    <w:p>
      <w:pPr>
        <w:pStyle w:val="Heading2"/>
      </w:pPr>
      <w:r>
        <w:t>2.1 Purpose</w:t>
      </w:r>
    </w:p>
    <w:p>
      <w:r>
        <w:rPr>
          <w:sz w:val="21"/>
        </w:rPr>
        <w:t>To define the target architecture of the Midgard core platform in sufficient depth to drive implementation planning, security review, and investment decisions, and to establish the shared contracts on which Forge, Mimir, Bifrost, and Heimdall depend.</w:t>
      </w:r>
    </w:p>
    <w:p>
      <w:pPr>
        <w:pStyle w:val="Heading2"/>
      </w:pPr>
      <w:r>
        <w:t>2.2 Intended audience</w:t>
      </w:r>
    </w:p>
    <w:p>
      <w:pPr>
        <w:pStyle w:val="ListBullet"/>
      </w:pPr>
      <w:r>
        <w:rPr>
          <w:sz w:val="21"/>
        </w:rPr>
        <w:t>Engineering leadership and architects implementing the suite.</w:t>
      </w:r>
    </w:p>
    <w:p>
      <w:pPr>
        <w:pStyle w:val="ListBullet"/>
      </w:pPr>
      <w:r>
        <w:rPr>
          <w:sz w:val="21"/>
        </w:rPr>
        <w:t>Security and compliance reviewers assessing the post-quantum and zero-trust posture.</w:t>
      </w:r>
    </w:p>
    <w:p>
      <w:pPr>
        <w:pStyle w:val="ListBullet"/>
      </w:pPr>
      <w:r>
        <w:rPr>
          <w:sz w:val="21"/>
        </w:rPr>
        <w:t>Executive stakeholders evaluating competitive positioning against Palantir.</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 (covered elsewhere / future)</w:t>
            </w:r>
          </w:p>
        </w:tc>
      </w:tr>
      <w:tr>
        <w:tc>
          <w:tcPr>
            <w:tcW w:type="dxa" w:w="4896"/>
            <w:tcMar>
              <w:top w:w="60" w:type="dxa"/>
              <w:bottom w:w="60" w:type="dxa"/>
              <w:start w:w="90" w:type="dxa"/>
              <w:end w:w="90" w:type="dxa"/>
            </w:tcMar>
            <w:shd w:val="clear" w:fill="FFFFFF"/>
          </w:tcPr>
          <w:p>
            <w:r>
              <w:rPr>
                <w:b w:val="0"/>
                <w:sz w:val="17"/>
              </w:rPr>
              <w:t>Core identity, object fabric, storage, compute, governance, PQ crypto substrate</w:t>
            </w:r>
          </w:p>
        </w:tc>
        <w:tc>
          <w:tcPr>
            <w:tcW w:type="dxa" w:w="4896"/>
            <w:tcMar>
              <w:top w:w="60" w:type="dxa"/>
              <w:bottom w:w="60" w:type="dxa"/>
              <w:start w:w="90" w:type="dxa"/>
              <w:end w:w="90" w:type="dxa"/>
            </w:tcMar>
            <w:shd w:val="clear" w:fill="FFFFFF"/>
          </w:tcPr>
          <w:p>
            <w:r>
              <w:rPr>
                <w:b w:val="0"/>
                <w:sz w:val="17"/>
              </w:rPr>
              <w:t>Per-product internals (see the four product SADs)</w:t>
            </w:r>
          </w:p>
        </w:tc>
      </w:tr>
      <w:tr>
        <w:tc>
          <w:tcPr>
            <w:tcW w:type="dxa" w:w="4896"/>
            <w:tcMar>
              <w:top w:w="60" w:type="dxa"/>
              <w:bottom w:w="60" w:type="dxa"/>
              <w:start w:w="90" w:type="dxa"/>
              <w:end w:w="90" w:type="dxa"/>
            </w:tcMar>
            <w:shd w:val="clear" w:fill="EEF3F8"/>
          </w:tcPr>
          <w:p>
            <w:r>
              <w:rPr>
                <w:b w:val="0"/>
                <w:sz w:val="17"/>
              </w:rPr>
              <w:t>Shared APIs/SDK and inter-product contracts</w:t>
            </w:r>
          </w:p>
        </w:tc>
        <w:tc>
          <w:tcPr>
            <w:tcW w:type="dxa" w:w="4896"/>
            <w:tcMar>
              <w:top w:w="60" w:type="dxa"/>
              <w:bottom w:w="60" w:type="dxa"/>
              <w:start w:w="90" w:type="dxa"/>
              <w:end w:w="90" w:type="dxa"/>
            </w:tcMar>
            <w:shd w:val="clear" w:fill="EEF3F8"/>
          </w:tcPr>
          <w:p>
            <w:r>
              <w:rPr>
                <w:b w:val="0"/>
                <w:sz w:val="17"/>
              </w:rPr>
              <w:t>Physical datacentre design and hardware procurement</w:t>
            </w:r>
          </w:p>
        </w:tc>
      </w:tr>
      <w:tr>
        <w:tc>
          <w:tcPr>
            <w:tcW w:type="dxa" w:w="4896"/>
            <w:tcMar>
              <w:top w:w="60" w:type="dxa"/>
              <w:bottom w:w="60" w:type="dxa"/>
              <w:start w:w="90" w:type="dxa"/>
              <w:end w:w="90" w:type="dxa"/>
            </w:tcMar>
            <w:shd w:val="clear" w:fill="FFFFFF"/>
          </w:tcPr>
          <w:p>
            <w:r>
              <w:rPr>
                <w:b w:val="0"/>
                <w:sz w:val="17"/>
              </w:rPr>
              <w:t>Reference deployment topologies (self-host, air-gap, HA)</w:t>
            </w:r>
          </w:p>
        </w:tc>
        <w:tc>
          <w:tcPr>
            <w:tcW w:type="dxa" w:w="4896"/>
            <w:tcMar>
              <w:top w:w="60" w:type="dxa"/>
              <w:bottom w:w="60" w:type="dxa"/>
              <w:start w:w="90" w:type="dxa"/>
              <w:end w:w="90" w:type="dxa"/>
            </w:tcMar>
            <w:shd w:val="clear" w:fill="FFFFFF"/>
          </w:tcPr>
          <w:p>
            <w:r>
              <w:rPr>
                <w:b w:val="0"/>
                <w:sz w:val="17"/>
              </w:rPr>
              <w:t>Commercial pricing and licensing terms</w:t>
            </w:r>
          </w:p>
        </w:tc>
      </w:tr>
      <w:tr>
        <w:tc>
          <w:tcPr>
            <w:tcW w:type="dxa" w:w="4896"/>
            <w:tcMar>
              <w:top w:w="60" w:type="dxa"/>
              <w:bottom w:w="60" w:type="dxa"/>
              <w:start w:w="90" w:type="dxa"/>
              <w:end w:w="90" w:type="dxa"/>
            </w:tcMar>
            <w:shd w:val="clear" w:fill="EEF3F8"/>
          </w:tcPr>
          <w:p>
            <w:r>
              <w:rPr>
                <w:b w:val="0"/>
                <w:sz w:val="17"/>
              </w:rPr>
              <w:t>Cross-cutting security architecture</w:t>
            </w:r>
          </w:p>
        </w:tc>
        <w:tc>
          <w:tcPr>
            <w:tcW w:type="dxa" w:w="4896"/>
            <w:tcMar>
              <w:top w:w="60" w:type="dxa"/>
              <w:bottom w:w="60" w:type="dxa"/>
              <w:start w:w="90" w:type="dxa"/>
              <w:end w:w="90" w:type="dxa"/>
            </w:tcMar>
            <w:shd w:val="clear" w:fill="EEF3F8"/>
          </w:tcPr>
          <w:p>
            <w:r>
              <w:rPr>
                <w:b w:val="0"/>
                <w:sz w:val="17"/>
              </w:rPr>
              <w:t>Third-party connector catalogue beyond reference set</w:t>
            </w:r>
          </w:p>
        </w:tc>
      </w:tr>
    </w:tbl>
    <w:p/>
    <w:p>
      <w:pPr>
        <w:pStyle w:val="Heading2"/>
      </w:pPr>
      <w:r>
        <w:t>2.4 Definitions &amp; acronyms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Midgard</w:t>
            </w:r>
          </w:p>
        </w:tc>
        <w:tc>
          <w:tcPr>
            <w:tcW w:type="dxa" w:w="4896"/>
            <w:tcMar>
              <w:top w:w="60" w:type="dxa"/>
              <w:bottom w:w="60" w:type="dxa"/>
              <w:start w:w="90" w:type="dxa"/>
              <w:end w:w="90" w:type="dxa"/>
            </w:tcMar>
            <w:shd w:val="clear" w:fill="FFFFFF"/>
          </w:tcPr>
          <w:p>
            <w:r>
              <w:rPr>
                <w:b w:val="0"/>
                <w:sz w:val="17"/>
              </w:rPr>
              <w:t>The core platform and umbrella suite; the sovereign 'enclosure' providing identity, storage, compute, governance, and the object/ontology fabric.</w:t>
            </w:r>
          </w:p>
        </w:tc>
      </w:tr>
      <w:tr>
        <w:tc>
          <w:tcPr>
            <w:tcW w:type="dxa" w:w="4896"/>
            <w:tcMar>
              <w:top w:w="60" w:type="dxa"/>
              <w:bottom w:w="60" w:type="dxa"/>
              <w:start w:w="90" w:type="dxa"/>
              <w:end w:w="90" w:type="dxa"/>
            </w:tcMar>
            <w:shd w:val="clear" w:fill="EEF3F8"/>
          </w:tcPr>
          <w:p>
            <w:r>
              <w:rPr>
                <w:b w:val="0"/>
                <w:sz w:val="17"/>
              </w:rPr>
              <w:t>Forge</w:t>
            </w:r>
          </w:p>
        </w:tc>
        <w:tc>
          <w:tcPr>
            <w:tcW w:type="dxa" w:w="4896"/>
            <w:tcMar>
              <w:top w:w="60" w:type="dxa"/>
              <w:bottom w:w="60" w:type="dxa"/>
              <w:start w:w="90" w:type="dxa"/>
              <w:end w:w="90" w:type="dxa"/>
            </w:tcMar>
            <w:shd w:val="clear" w:fill="EEF3F8"/>
          </w:tcPr>
          <w:p>
            <w:r>
              <w:rPr>
                <w:b w:val="0"/>
                <w:sz w:val="17"/>
              </w:rPr>
              <w:t>Data-operations product; competitor to Palantir Foundry. Ingest, transform, version, and model data into the Midgard object fabric.</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Bifrost</w:t>
            </w:r>
          </w:p>
        </w:tc>
        <w:tc>
          <w:tcPr>
            <w:tcW w:type="dxa" w:w="4896"/>
            <w:tcMar>
              <w:top w:w="60" w:type="dxa"/>
              <w:bottom w:w="60" w:type="dxa"/>
              <w:start w:w="90" w:type="dxa"/>
              <w:end w:w="90" w:type="dxa"/>
            </w:tcMar>
            <w:shd w:val="clear" w:fill="EEF3F8"/>
          </w:tcPr>
          <w:p>
            <w:r>
              <w:rPr>
                <w:b w:val="0"/>
                <w:sz w:val="17"/>
              </w:rPr>
              <w:t>Continuous-delivery product; competitor to Palantir Apollo. Orchestrates zero-downtime deployment across the suite.</w:t>
            </w:r>
          </w:p>
        </w:tc>
      </w:tr>
      <w:tr>
        <w:tc>
          <w:tcPr>
            <w:tcW w:type="dxa" w:w="4896"/>
            <w:tcMar>
              <w:top w:w="60" w:type="dxa"/>
              <w:bottom w:w="60" w:type="dxa"/>
              <w:start w:w="90" w:type="dxa"/>
              <w:end w:w="90" w:type="dxa"/>
            </w:tcMar>
            <w:shd w:val="clear" w:fill="FFFFFF"/>
          </w:tcPr>
          <w:p>
            <w:r>
              <w:rPr>
                <w:b w:val="0"/>
                <w:sz w:val="17"/>
              </w:rPr>
              <w:t>Heimdall</w:t>
            </w:r>
          </w:p>
        </w:tc>
        <w:tc>
          <w:tcPr>
            <w:tcW w:type="dxa" w:w="4896"/>
            <w:tcMar>
              <w:top w:w="60" w:type="dxa"/>
              <w:bottom w:w="60" w:type="dxa"/>
              <w:start w:w="90" w:type="dxa"/>
              <w:end w:w="90" w:type="dxa"/>
            </w:tcMar>
            <w:shd w:val="clear" w:fill="FFFFFF"/>
          </w:tcPr>
          <w:p>
            <w:r>
              <w:rPr>
                <w:b w:val="0"/>
                <w:sz w:val="17"/>
              </w:rPr>
              <w:t>Operational fusion product; competitor to Palantir Maven. Fuses feeds into a single operational picture with AI-assisted decision workflows.</w:t>
            </w:r>
          </w:p>
        </w:tc>
      </w:tr>
      <w:tr>
        <w:tc>
          <w:tcPr>
            <w:tcW w:type="dxa" w:w="4896"/>
            <w:tcMar>
              <w:top w:w="60" w:type="dxa"/>
              <w:bottom w:w="60" w:type="dxa"/>
              <w:start w:w="90" w:type="dxa"/>
              <w:end w:w="90" w:type="dxa"/>
            </w:tcMar>
            <w:shd w:val="clear" w:fill="EEF3F8"/>
          </w:tcPr>
          <w:p>
            <w:r>
              <w:rPr>
                <w:b w:val="0"/>
                <w:sz w:val="17"/>
              </w:rPr>
              <w:t>GLM 5.2</w:t>
            </w:r>
          </w:p>
        </w:tc>
        <w:tc>
          <w:tcPr>
            <w:tcW w:type="dxa" w:w="4896"/>
            <w:tcMar>
              <w:top w:w="60" w:type="dxa"/>
              <w:bottom w:w="60" w:type="dxa"/>
              <w:start w:w="90" w:type="dxa"/>
              <w:end w:w="90" w:type="dxa"/>
            </w:tcMar>
            <w:shd w:val="clear" w:fill="EEF3F8"/>
          </w:tcPr>
          <w:p>
            <w:r>
              <w:rPr>
                <w:b w:val="0"/>
                <w:sz w:val="17"/>
              </w:rPr>
              <w:t>The large language model at the core of the Mimir inference layer, served locally.</w:t>
            </w:r>
          </w:p>
        </w:tc>
      </w:tr>
      <w:tr>
        <w:tc>
          <w:tcPr>
            <w:tcW w:type="dxa" w:w="4896"/>
            <w:tcMar>
              <w:top w:w="60" w:type="dxa"/>
              <w:bottom w:w="60" w:type="dxa"/>
              <w:start w:w="90" w:type="dxa"/>
              <w:end w:w="90" w:type="dxa"/>
            </w:tcMar>
            <w:shd w:val="clear" w:fill="FFFFFF"/>
          </w:tcPr>
          <w:p>
            <w:r>
              <w:rPr>
                <w:b w:val="0"/>
                <w:sz w:val="17"/>
              </w:rPr>
              <w:t>Object fabric</w:t>
            </w:r>
          </w:p>
        </w:tc>
        <w:tc>
          <w:tcPr>
            <w:tcW w:type="dxa" w:w="4896"/>
            <w:tcMar>
              <w:top w:w="60" w:type="dxa"/>
              <w:bottom w:w="60" w:type="dxa"/>
              <w:start w:w="90" w:type="dxa"/>
              <w:end w:w="90" w:type="dxa"/>
            </w:tcMar>
            <w:shd w:val="clear" w:fill="FFFFFF"/>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EEF3F8"/>
          </w:tcPr>
          <w:p>
            <w:r>
              <w:rPr>
                <w:b w:val="0"/>
                <w:sz w:val="17"/>
              </w:rPr>
              <w:t>ML-KEM</w:t>
            </w:r>
          </w:p>
        </w:tc>
        <w:tc>
          <w:tcPr>
            <w:tcW w:type="dxa" w:w="4896"/>
            <w:tcMar>
              <w:top w:w="60" w:type="dxa"/>
              <w:bottom w:w="60" w:type="dxa"/>
              <w:start w:w="90" w:type="dxa"/>
              <w:end w:w="90" w:type="dxa"/>
            </w:tcMar>
            <w:shd w:val="clear" w:fill="EEF3F8"/>
          </w:tcPr>
          <w:p>
            <w:r>
              <w:rPr>
                <w:b w:val="0"/>
                <w:sz w:val="17"/>
              </w:rPr>
              <w:t>Module-Lattice Key-Encapsulation Mechanism (Kyber), NIST FIPS 203.</w:t>
            </w:r>
          </w:p>
        </w:tc>
      </w:tr>
      <w:tr>
        <w:tc>
          <w:tcPr>
            <w:tcW w:type="dxa" w:w="4896"/>
            <w:tcMar>
              <w:top w:w="60" w:type="dxa"/>
              <w:bottom w:w="60" w:type="dxa"/>
              <w:start w:w="90" w:type="dxa"/>
              <w:end w:w="90" w:type="dxa"/>
            </w:tcMar>
            <w:shd w:val="clear" w:fill="FFFFFF"/>
          </w:tcPr>
          <w:p>
            <w:r>
              <w:rPr>
                <w:b w:val="0"/>
                <w:sz w:val="17"/>
              </w:rPr>
              <w:t>ML-DSA</w:t>
            </w:r>
          </w:p>
        </w:tc>
        <w:tc>
          <w:tcPr>
            <w:tcW w:type="dxa" w:w="4896"/>
            <w:tcMar>
              <w:top w:w="60" w:type="dxa"/>
              <w:bottom w:w="60" w:type="dxa"/>
              <w:start w:w="90" w:type="dxa"/>
              <w:end w:w="90" w:type="dxa"/>
            </w:tcMar>
            <w:shd w:val="clear" w:fill="FFFFFF"/>
          </w:tcPr>
          <w:p>
            <w:r>
              <w:rPr>
                <w:b w:val="0"/>
                <w:sz w:val="17"/>
              </w:rPr>
              <w:t>Module-Lattice Digital Signature Algorithm (Dilithium), NIST FIPS 204.</w:t>
            </w:r>
          </w:p>
        </w:tc>
      </w:tr>
      <w:tr>
        <w:tc>
          <w:tcPr>
            <w:tcW w:type="dxa" w:w="4896"/>
            <w:tcMar>
              <w:top w:w="60" w:type="dxa"/>
              <w:bottom w:w="60" w:type="dxa"/>
              <w:start w:w="90" w:type="dxa"/>
              <w:end w:w="90" w:type="dxa"/>
            </w:tcMar>
            <w:shd w:val="clear" w:fill="EEF3F8"/>
          </w:tcPr>
          <w:p>
            <w:r>
              <w:rPr>
                <w:b w:val="0"/>
                <w:sz w:val="17"/>
              </w:rPr>
              <w:t>SLH-DSA</w:t>
            </w:r>
          </w:p>
        </w:tc>
        <w:tc>
          <w:tcPr>
            <w:tcW w:type="dxa" w:w="4896"/>
            <w:tcMar>
              <w:top w:w="60" w:type="dxa"/>
              <w:bottom w:w="60" w:type="dxa"/>
              <w:start w:w="90" w:type="dxa"/>
              <w:end w:w="90" w:type="dxa"/>
            </w:tcMar>
            <w:shd w:val="clear" w:fill="EEF3F8"/>
          </w:tcPr>
          <w:p>
            <w:r>
              <w:rPr>
                <w:b w:val="0"/>
                <w:sz w:val="17"/>
              </w:rPr>
              <w:t>Stateless Hash-based Digital Signature Algorithm (SPHINCS+), NIST FIPS 205.</w:t>
            </w:r>
          </w:p>
        </w:tc>
      </w:tr>
      <w:tr>
        <w:tc>
          <w:tcPr>
            <w:tcW w:type="dxa" w:w="4896"/>
            <w:tcMar>
              <w:top w:w="60" w:type="dxa"/>
              <w:bottom w:w="60" w:type="dxa"/>
              <w:start w:w="90" w:type="dxa"/>
              <w:end w:w="90" w:type="dxa"/>
            </w:tcMar>
            <w:shd w:val="clear" w:fill="FFFFFF"/>
          </w:tcPr>
          <w:p>
            <w:r>
              <w:rPr>
                <w:b w:val="0"/>
                <w:sz w:val="17"/>
              </w:rPr>
              <w:t>OAG</w:t>
            </w:r>
          </w:p>
        </w:tc>
        <w:tc>
          <w:tcPr>
            <w:tcW w:type="dxa" w:w="4896"/>
            <w:tcMar>
              <w:top w:w="60" w:type="dxa"/>
              <w:bottom w:w="60" w:type="dxa"/>
              <w:start w:w="90" w:type="dxa"/>
              <w:end w:w="90" w:type="dxa"/>
            </w:tcMar>
            <w:shd w:val="clear" w:fill="FFFFFF"/>
          </w:tcPr>
          <w:p>
            <w:r>
              <w:rPr>
                <w:b w:val="0"/>
                <w:sz w:val="17"/>
              </w:rPr>
              <w:t>Ontology-Augmented Generation: grounding the LLM in the object fabric's data, logic, and actions.</w:t>
            </w:r>
          </w:p>
        </w:tc>
      </w:tr>
      <w:tr>
        <w:tc>
          <w:tcPr>
            <w:tcW w:type="dxa" w:w="4896"/>
            <w:tcMar>
              <w:top w:w="60" w:type="dxa"/>
              <w:bottom w:w="60" w:type="dxa"/>
              <w:start w:w="90" w:type="dxa"/>
              <w:end w:w="90" w:type="dxa"/>
            </w:tcMar>
            <w:shd w:val="clear" w:fill="EEF3F8"/>
          </w:tcPr>
          <w:p>
            <w:r>
              <w:rPr>
                <w:b w:val="0"/>
                <w:sz w:val="17"/>
              </w:rPr>
              <w:t>Seal</w:t>
            </w:r>
          </w:p>
        </w:tc>
        <w:tc>
          <w:tcPr>
            <w:tcW w:type="dxa" w:w="4896"/>
            <w:tcMar>
              <w:top w:w="60" w:type="dxa"/>
              <w:bottom w:w="60" w:type="dxa"/>
              <w:start w:w="90" w:type="dxa"/>
              <w:end w:w="90" w:type="dxa"/>
            </w:tcMar>
            <w:shd w:val="clear" w:fill="EEF3F8"/>
          </w:tcPr>
          <w:p>
            <w:r>
              <w:rPr>
                <w:b w:val="0"/>
                <w:sz w:val="17"/>
              </w:rPr>
              <w:t>The Kryotech post-quantum encryption action applied to objects and artefacts.</w:t>
            </w:r>
          </w:p>
        </w:tc>
      </w:tr>
      <w:tr>
        <w:tc>
          <w:tcPr>
            <w:tcW w:type="dxa" w:w="4896"/>
            <w:tcMar>
              <w:top w:w="60" w:type="dxa"/>
              <w:bottom w:w="60" w:type="dxa"/>
              <w:start w:w="90" w:type="dxa"/>
              <w:end w:w="90" w:type="dxa"/>
            </w:tcMar>
            <w:shd w:val="clear" w:fill="FFFFFF"/>
          </w:tcPr>
          <w:p>
            <w:r>
              <w:rPr>
                <w:b w:val="0"/>
                <w:sz w:val="17"/>
              </w:rPr>
              <w:t>Enclosure</w:t>
            </w:r>
          </w:p>
        </w:tc>
        <w:tc>
          <w:tcPr>
            <w:tcW w:type="dxa" w:w="4896"/>
            <w:tcMar>
              <w:top w:w="60" w:type="dxa"/>
              <w:bottom w:w="60" w:type="dxa"/>
              <w:start w:w="90" w:type="dxa"/>
              <w:end w:w="90" w:type="dxa"/>
            </w:tcMar>
            <w:shd w:val="clear" w:fill="FFFFFF"/>
          </w:tcPr>
          <w:p>
            <w:r>
              <w:rPr>
                <w:b w:val="0"/>
                <w:sz w:val="17"/>
              </w:rPr>
              <w:t>The Midgard trust boundary; the defended, sovereign space within which all products run.</w:t>
            </w:r>
          </w:p>
        </w:tc>
      </w:tr>
    </w:tbl>
    <w:p/>
    <w:p>
      <w:pPr>
        <w:pStyle w:val="Heading2"/>
      </w:pPr>
      <w:r>
        <w:t>2.5 References</w:t>
      </w:r>
    </w:p>
    <w:p>
      <w:pPr>
        <w:pStyle w:val="ListBullet"/>
      </w:pPr>
      <w:r>
        <w:rPr>
          <w:sz w:val="21"/>
        </w:rPr>
        <w:t xml:space="preserve">arc42 template §1–§12; TOGAF ADM Phases B–D. </w:t>
      </w:r>
      <w:r>
        <w:rPr>
          <w:rFonts w:ascii="Consolas" w:hAnsi="Consolas"/>
          <w:color w:val="0B4884"/>
          <w:sz w:val="18"/>
        </w:rPr>
        <w:t>[DD-8]</w:t>
      </w:r>
      <w:r>
        <w:rPr>
          <w:sz w:val="21"/>
        </w:rPr>
      </w:r>
    </w:p>
    <w:p>
      <w:pPr>
        <w:pStyle w:val="ListBullet"/>
      </w:pPr>
      <w:r>
        <w:rPr>
          <w:sz w:val="21"/>
        </w:rPr>
        <w:t xml:space="preserve">NIST FIPS 203 (ML-KEM), 204 (ML-DSA), 205 (SLH-DSA); NIST SP 800-207 (Zero Trust); SP 800-53 Rev.5. </w:t>
      </w:r>
      <w:r>
        <w:rPr>
          <w:rFonts w:ascii="Consolas" w:hAnsi="Consolas"/>
          <w:color w:val="0B4884"/>
          <w:sz w:val="18"/>
        </w:rPr>
        <w:t>[STD]</w:t>
      </w:r>
      <w:r>
        <w:rPr>
          <w:sz w:val="21"/>
        </w:rPr>
      </w:r>
    </w:p>
    <w:p>
      <w:pPr>
        <w:pStyle w:val="ListBullet"/>
      </w:pPr>
      <w:r>
        <w:rPr>
          <w:sz w:val="21"/>
        </w:rPr>
        <w:t xml:space="preserve">OWASP ASVS 4.0; ISO/IEC 27001:2022 Annex A; C4 model for decomposition. </w:t>
      </w:r>
      <w:r>
        <w:rPr>
          <w:rFonts w:ascii="Consolas" w:hAnsi="Consolas"/>
          <w:color w:val="0B4884"/>
          <w:sz w:val="18"/>
        </w:rPr>
        <w:t>[DD-8]</w:t>
      </w:r>
      <w:r>
        <w:rPr>
          <w:sz w:val="21"/>
        </w:rPr>
      </w:r>
    </w:p>
    <w:p>
      <w:pPr>
        <w:pStyle w:val="Heading1"/>
      </w:pPr>
      <w:r>
        <w:t>3. Business &amp; Solution Context</w:t>
      </w:r>
    </w:p>
    <w:p>
      <w:pPr>
        <w:pStyle w:val="Heading2"/>
      </w:pPr>
      <w:r>
        <w:t>3.1 Business goals</w:t>
      </w:r>
    </w:p>
    <w:p>
      <w:pPr>
        <w:pStyle w:val="ListNumber"/>
      </w:pPr>
      <w:r>
        <w:rPr>
          <w:sz w:val="21"/>
        </w:rPr>
      </w:r>
      <w:r>
        <w:rPr>
          <w:b/>
          <w:sz w:val="21"/>
        </w:rPr>
        <w:t>DD-1 — Direct competitive parity-plus with Palantir.</w:t>
      </w:r>
      <w:r>
        <w:rPr>
          <w:sz w:val="21"/>
        </w:rPr>
        <w:t xml:space="preserve"> Each product must be a direct and more capable competitor to its Palantir counterpart (Forge→Foundry, Mimir→AIP, Bifrost→Apollo, Heimdall→Maven), with improved design and usability.</w:t>
      </w:r>
    </w:p>
    <w:p>
      <w:pPr>
        <w:pStyle w:val="ListNumber"/>
      </w:pPr>
      <w:r>
        <w:rPr>
          <w:sz w:val="21"/>
        </w:rPr>
      </w:r>
      <w:r>
        <w:rPr>
          <w:b/>
          <w:sz w:val="21"/>
        </w:rPr>
        <w:t>DD-2 — Open source.</w:t>
      </w:r>
      <w:r>
        <w:rPr>
          <w:sz w:val="21"/>
        </w:rPr>
        <w:t xml:space="preserve"> The suite is open-source-first: the core of every product is released under an OSI-approved licence, with an optional commercial tier for advanced modules.</w:t>
      </w:r>
    </w:p>
    <w:p>
      <w:pPr>
        <w:pStyle w:val="ListNumber"/>
      </w:pPr>
      <w:r>
        <w:rPr>
          <w:sz w:val="21"/>
        </w:rPr>
      </w:r>
      <w:r>
        <w:rPr>
          <w:b/>
          <w:sz w:val="21"/>
        </w:rPr>
        <w:t>DD-3 — Native post-quantum encryption.</w:t>
      </w:r>
      <w:r>
        <w:rPr>
          <w:sz w:val="21"/>
        </w:rPr>
        <w:t xml:space="preserve"> Post-quantum cryptography is native and default across data-at-rest, data-in-transit, and inter-service authentication — not an add-on.</w:t>
      </w:r>
    </w:p>
    <w:p>
      <w:pPr>
        <w:pStyle w:val="ListNumber"/>
      </w:pPr>
      <w:r>
        <w:rPr>
          <w:sz w:val="21"/>
        </w:rPr>
      </w:r>
      <w:r>
        <w:rPr>
          <w:b/>
          <w:sz w:val="21"/>
        </w:rPr>
        <w:t>DD-4 — Local AI processing via the Mimir layer.</w:t>
      </w:r>
      <w:r>
        <w:rPr>
          <w:sz w:val="21"/>
        </w:rPr>
        <w:t xml:space="preserve"> Generative AI, reasoning, and inference are served locally by the Mimir layer (GLM 5.2 at its core). No product depends on a third-party hosted LLM to function.</w:t>
      </w:r>
    </w:p>
    <w:p>
      <w:pPr>
        <w:pStyle w:val="ListNumber"/>
      </w:pPr>
      <w:r>
        <w:rPr>
          <w:sz w:val="21"/>
        </w:rPr>
      </w:r>
      <w:r>
        <w:rPr>
          <w:b/>
          <w:sz w:val="21"/>
        </w:rPr>
        <w:t>DD-5 — Agentic, self-* AI.</w:t>
      </w:r>
      <w:r>
        <w:rPr>
          <w:sz w:val="21"/>
        </w:rPr>
        <w:t xml:space="preserve"> Mimir's AI is agentic and exhibits self-learning, self-healing, and self-defending behaviours, governed by an evaluation and guardrail framework.</w:t>
      </w:r>
    </w:p>
    <w:p>
      <w:pPr>
        <w:pStyle w:val="ListNumber"/>
      </w:pPr>
      <w:r>
        <w:rPr>
          <w:sz w:val="21"/>
        </w:rPr>
      </w:r>
      <w:r>
        <w:rPr>
          <w:b/>
          <w:sz w:val="21"/>
        </w:rPr>
        <w:t>DD-6 — Independent yet composable.</w:t>
      </w:r>
      <w:r>
        <w:rPr>
          <w:sz w:val="21"/>
        </w:rPr>
        <w:t xml:space="preserve"> Each product operates standalone atop Midgard (Midgard+Forge, Midgard+Mimir, Midgard+Bifrost, Midgard+Heimdall) and operates optimally when consumed together.</w:t>
      </w:r>
    </w:p>
    <w:p>
      <w:pPr>
        <w:pStyle w:val="ListNumber"/>
      </w:pPr>
      <w:r>
        <w:rPr>
          <w:sz w:val="21"/>
        </w:rPr>
      </w:r>
      <w:r>
        <w:rPr>
          <w:b/>
          <w:sz w:val="21"/>
        </w:rPr>
        <w:t>DD-7 — Sovereignty and data control.</w:t>
      </w:r>
      <w:r>
        <w:rPr>
          <w:sz w:val="21"/>
        </w:rPr>
        <w:t xml:space="preserve"> Users retain sovereign control of data and models; the architecture favours on-premises / self-hosted / air-gapped deployment (the 'Midgard enclosure').</w:t>
      </w:r>
    </w:p>
    <w:p>
      <w:pPr>
        <w:pStyle w:val="ListNumber"/>
      </w:pPr>
      <w:r>
        <w:rPr>
          <w:sz w:val="21"/>
        </w:rPr>
      </w:r>
      <w:r>
        <w:rPr>
          <w:b/>
          <w:sz w:val="21"/>
        </w:rPr>
        <w:t>DD-8 — Standards-aligned assurance.</w:t>
      </w:r>
      <w:r>
        <w:rPr>
          <w:sz w:val="21"/>
        </w:rPr>
        <w:t xml:space="preserve"> Structure follows arc42 + TOGAF ADM; security aligns to NIST SP 800-53 Rev.5, OWASP ASVS 4.0, ISO/IEC 27001:2022; component decomposition uses the C4 model.</w:t>
      </w:r>
    </w:p>
    <w:p>
      <w:pPr>
        <w:pStyle w:val="Heading2"/>
      </w:pPr>
      <w:r>
        <w:t>3.2 Stakeholders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Stakeholder</w:t>
            </w:r>
          </w:p>
        </w:tc>
        <w:tc>
          <w:tcPr>
            <w:tcW w:type="dxa" w:w="4896"/>
            <w:shd w:val="clear" w:fill="0B4884"/>
            <w:tcMar>
              <w:top w:w="60" w:type="dxa"/>
              <w:bottom w:w="60" w:type="dxa"/>
              <w:start w:w="90" w:type="dxa"/>
              <w:end w:w="90" w:type="dxa"/>
            </w:tcMar>
          </w:tcPr>
          <w:p>
            <w:r>
              <w:rPr>
                <w:b/>
                <w:color w:val="FFFFFF"/>
                <w:sz w:val="18"/>
              </w:rPr>
              <w:t>Concern</w:t>
            </w:r>
          </w:p>
        </w:tc>
      </w:tr>
      <w:tr>
        <w:tc>
          <w:tcPr>
            <w:tcW w:type="dxa" w:w="4896"/>
            <w:tcMar>
              <w:top w:w="60" w:type="dxa"/>
              <w:bottom w:w="60" w:type="dxa"/>
              <w:start w:w="90" w:type="dxa"/>
              <w:end w:w="90" w:type="dxa"/>
            </w:tcMar>
            <w:shd w:val="clear" w:fill="FFFFFF"/>
          </w:tcPr>
          <w:p>
            <w:r>
              <w:rPr>
                <w:b w:val="0"/>
                <w:sz w:val="17"/>
              </w:rPr>
              <w:t>Data / Ops analyst</w:t>
            </w:r>
          </w:p>
        </w:tc>
        <w:tc>
          <w:tcPr>
            <w:tcW w:type="dxa" w:w="4896"/>
            <w:tcMar>
              <w:top w:w="60" w:type="dxa"/>
              <w:bottom w:w="60" w:type="dxa"/>
              <w:start w:w="90" w:type="dxa"/>
              <w:end w:w="90" w:type="dxa"/>
            </w:tcMar>
            <w:shd w:val="clear" w:fill="FFFFFF"/>
          </w:tcPr>
          <w:p>
            <w:r>
              <w:rPr>
                <w:b w:val="0"/>
                <w:sz w:val="17"/>
              </w:rPr>
              <w:t>Fuse, explore, and act on data through the object fabric and applications.</w:t>
            </w:r>
          </w:p>
        </w:tc>
      </w:tr>
      <w:tr>
        <w:tc>
          <w:tcPr>
            <w:tcW w:type="dxa" w:w="4896"/>
            <w:tcMar>
              <w:top w:w="60" w:type="dxa"/>
              <w:bottom w:w="60" w:type="dxa"/>
              <w:start w:w="90" w:type="dxa"/>
              <w:end w:w="90" w:type="dxa"/>
            </w:tcMar>
            <w:shd w:val="clear" w:fill="EEF3F8"/>
          </w:tcPr>
          <w:p>
            <w:r>
              <w:rPr>
                <w:b w:val="0"/>
                <w:sz w:val="17"/>
              </w:rPr>
              <w:t>Platform admin</w:t>
            </w:r>
          </w:p>
        </w:tc>
        <w:tc>
          <w:tcPr>
            <w:tcW w:type="dxa" w:w="4896"/>
            <w:tcMar>
              <w:top w:w="60" w:type="dxa"/>
              <w:bottom w:w="60" w:type="dxa"/>
              <w:start w:w="90" w:type="dxa"/>
              <w:end w:w="90" w:type="dxa"/>
            </w:tcMar>
            <w:shd w:val="clear" w:fill="EEF3F8"/>
          </w:tcPr>
          <w:p>
            <w:r>
              <w:rPr>
                <w:b w:val="0"/>
                <w:sz w:val="17"/>
              </w:rPr>
              <w:t>Identity, governance, markings, upgrades, and enclosure integrity.</w:t>
            </w:r>
          </w:p>
        </w:tc>
      </w:tr>
      <w:tr>
        <w:tc>
          <w:tcPr>
            <w:tcW w:type="dxa" w:w="4896"/>
            <w:tcMar>
              <w:top w:w="60" w:type="dxa"/>
              <w:bottom w:w="60" w:type="dxa"/>
              <w:start w:w="90" w:type="dxa"/>
              <w:end w:w="90" w:type="dxa"/>
            </w:tcMar>
            <w:shd w:val="clear" w:fill="FFFFFF"/>
          </w:tcPr>
          <w:p>
            <w:r>
              <w:rPr>
                <w:b w:val="0"/>
                <w:sz w:val="17"/>
              </w:rPr>
              <w:t>Developer</w:t>
            </w:r>
          </w:p>
        </w:tc>
        <w:tc>
          <w:tcPr>
            <w:tcW w:type="dxa" w:w="4896"/>
            <w:tcMar>
              <w:top w:w="60" w:type="dxa"/>
              <w:bottom w:w="60" w:type="dxa"/>
              <w:start w:w="90" w:type="dxa"/>
              <w:end w:w="90" w:type="dxa"/>
            </w:tcMar>
            <w:shd w:val="clear" w:fill="FFFFFF"/>
          </w:tcPr>
          <w:p>
            <w:r>
              <w:rPr>
                <w:b w:val="0"/>
                <w:sz w:val="17"/>
              </w:rPr>
              <w:t>Build pipelines, functions, agents, and applications on the SDK.</w:t>
            </w:r>
          </w:p>
        </w:tc>
      </w:tr>
      <w:tr>
        <w:tc>
          <w:tcPr>
            <w:tcW w:type="dxa" w:w="4896"/>
            <w:tcMar>
              <w:top w:w="60" w:type="dxa"/>
              <w:bottom w:w="60" w:type="dxa"/>
              <w:start w:w="90" w:type="dxa"/>
              <w:end w:w="90" w:type="dxa"/>
            </w:tcMar>
            <w:shd w:val="clear" w:fill="EEF3F8"/>
          </w:tcPr>
          <w:p>
            <w:r>
              <w:rPr>
                <w:b w:val="0"/>
                <w:sz w:val="17"/>
              </w:rPr>
              <w:t>Security officer</w:t>
            </w:r>
          </w:p>
        </w:tc>
        <w:tc>
          <w:tcPr>
            <w:tcW w:type="dxa" w:w="4896"/>
            <w:tcMar>
              <w:top w:w="60" w:type="dxa"/>
              <w:bottom w:w="60" w:type="dxa"/>
              <w:start w:w="90" w:type="dxa"/>
              <w:end w:w="90" w:type="dxa"/>
            </w:tcMar>
            <w:shd w:val="clear" w:fill="EEF3F8"/>
          </w:tcPr>
          <w:p>
            <w:r>
              <w:rPr>
                <w:b w:val="0"/>
                <w:sz w:val="17"/>
              </w:rPr>
              <w:t>Zero-trust enforcement, PQ posture, audit lineage, sovereignty.</w:t>
            </w:r>
          </w:p>
        </w:tc>
      </w:tr>
    </w:tbl>
    <w:p/>
    <w:p>
      <w:pPr>
        <w:pStyle w:val="Heading2"/>
      </w:pPr>
      <w:r>
        <w:t>3.3 System context (C4 Level 1)</w:t>
      </w:r>
    </w:p>
    <w:p>
      <w:r>
        <w:rPr>
          <w:sz w:val="21"/>
        </w:rPr>
        <w:t>The context below shows Midgard as the enclosure hosting the four products and integrating only optional, sovereignty-preserving external systems (data sources, an optional enterprise IdP, and an HSM/TPM for key sealing).</w:t>
      </w:r>
    </w:p>
    <w:p>
      <w:pPr>
        <w:jc w:val="center"/>
      </w:pPr>
      <w:r>
        <w:drawing>
          <wp:inline xmlns:a="http://schemas.openxmlformats.org/drawingml/2006/main" xmlns:pic="http://schemas.openxmlformats.org/drawingml/2006/picture">
            <wp:extent cx="6035040" cy="1716599"/>
            <wp:docPr id="1" name="Picture 1"/>
            <wp:cNvGraphicFramePr>
              <a:graphicFrameLocks noChangeAspect="1"/>
            </wp:cNvGraphicFramePr>
            <a:graphic>
              <a:graphicData uri="http://schemas.openxmlformats.org/drawingml/2006/picture">
                <pic:pic>
                  <pic:nvPicPr>
                    <pic:cNvPr id="0" name="midgard_c4_context.png"/>
                    <pic:cNvPicPr/>
                  </pic:nvPicPr>
                  <pic:blipFill>
                    <a:blip r:embed="rId9"/>
                    <a:stretch>
                      <a:fillRect/>
                    </a:stretch>
                  </pic:blipFill>
                  <pic:spPr>
                    <a:xfrm>
                      <a:off x="0" y="0"/>
                      <a:ext cx="6035040" cy="1716599"/>
                    </a:xfrm>
                    <a:prstGeom prst="rect"/>
                  </pic:spPr>
                </pic:pic>
              </a:graphicData>
            </a:graphic>
          </wp:inline>
        </w:drawing>
      </w:r>
    </w:p>
    <w:p>
      <w:pPr>
        <w:jc w:val="center"/>
      </w:pPr>
      <w:r>
        <w:rPr>
          <w:i/>
          <w:color w:val="595959"/>
          <w:sz w:val="17"/>
        </w:rPr>
        <w:t>Figure 3.1 — C4 Level 1 System Context: Midgard core hosting the four products within the enclosure.</w:t>
      </w:r>
    </w:p>
    <w:p/>
    <w:p>
      <w:pPr>
        <w:pStyle w:val="Heading2"/>
      </w:pPr>
      <w:r>
        <w:t>3.4 External systems &amp; actors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External</w:t>
            </w:r>
          </w:p>
        </w:tc>
        <w:tc>
          <w:tcPr>
            <w:tcW w:type="dxa" w:w="3264"/>
            <w:shd w:val="clear" w:fill="0B4884"/>
            <w:tcMar>
              <w:top w:w="60" w:type="dxa"/>
              <w:bottom w:w="60" w:type="dxa"/>
              <w:start w:w="90" w:type="dxa"/>
              <w:end w:w="90" w:type="dxa"/>
            </w:tcMar>
          </w:tcPr>
          <w:p>
            <w:r>
              <w:rPr>
                <w:b/>
                <w:color w:val="FFFFFF"/>
                <w:sz w:val="18"/>
              </w:rPr>
              <w:t>Nature</w:t>
            </w:r>
          </w:p>
        </w:tc>
        <w:tc>
          <w:tcPr>
            <w:tcW w:type="dxa" w:w="3264"/>
            <w:shd w:val="clear" w:fill="0B4884"/>
            <w:tcMar>
              <w:top w:w="60" w:type="dxa"/>
              <w:bottom w:w="60" w:type="dxa"/>
              <w:start w:w="90" w:type="dxa"/>
              <w:end w:w="90" w:type="dxa"/>
            </w:tcMar>
          </w:tcPr>
          <w:p>
            <w:r>
              <w:rPr>
                <w:b/>
                <w:color w:val="FFFFFF"/>
                <w:sz w:val="18"/>
              </w:rPr>
              <w:t>Coupling</w:t>
            </w:r>
          </w:p>
        </w:tc>
      </w:tr>
      <w:tr>
        <w:tc>
          <w:tcPr>
            <w:tcW w:type="dxa" w:w="3264"/>
            <w:tcMar>
              <w:top w:w="60" w:type="dxa"/>
              <w:bottom w:w="60" w:type="dxa"/>
              <w:start w:w="90" w:type="dxa"/>
              <w:end w:w="90" w:type="dxa"/>
            </w:tcMar>
            <w:shd w:val="clear" w:fill="FFFFFF"/>
          </w:tcPr>
          <w:p>
            <w:r>
              <w:rPr>
                <w:b w:val="0"/>
                <w:sz w:val="17"/>
              </w:rPr>
              <w:t>External data sources</w:t>
            </w:r>
          </w:p>
        </w:tc>
        <w:tc>
          <w:tcPr>
            <w:tcW w:type="dxa" w:w="3264"/>
            <w:tcMar>
              <w:top w:w="60" w:type="dxa"/>
              <w:bottom w:w="60" w:type="dxa"/>
              <w:start w:w="90" w:type="dxa"/>
              <w:end w:w="90" w:type="dxa"/>
            </w:tcMar>
            <w:shd w:val="clear" w:fill="FFFFFF"/>
          </w:tcPr>
          <w:p>
            <w:r>
              <w:rPr>
                <w:b w:val="0"/>
                <w:sz w:val="17"/>
              </w:rPr>
              <w:t>Databases, APIs, files, streaming feeds</w:t>
            </w:r>
          </w:p>
        </w:tc>
        <w:tc>
          <w:tcPr>
            <w:tcW w:type="dxa" w:w="3264"/>
            <w:tcMar>
              <w:top w:w="60" w:type="dxa"/>
              <w:bottom w:w="60" w:type="dxa"/>
              <w:start w:w="90" w:type="dxa"/>
              <w:end w:w="90" w:type="dxa"/>
            </w:tcMar>
            <w:shd w:val="clear" w:fill="FFFFFF"/>
          </w:tcPr>
          <w:p>
            <w:r>
              <w:rPr>
                <w:b w:val="0"/>
                <w:sz w:val="17"/>
              </w:rPr>
              <w:t>Inbound, pull-based, via Forge connectors; no reverse dependency.</w:t>
            </w:r>
          </w:p>
        </w:tc>
      </w:tr>
      <w:tr>
        <w:tc>
          <w:tcPr>
            <w:tcW w:type="dxa" w:w="3264"/>
            <w:tcMar>
              <w:top w:w="60" w:type="dxa"/>
              <w:bottom w:w="60" w:type="dxa"/>
              <w:start w:w="90" w:type="dxa"/>
              <w:end w:w="90" w:type="dxa"/>
            </w:tcMar>
            <w:shd w:val="clear" w:fill="EEF3F8"/>
          </w:tcPr>
          <w:p>
            <w:r>
              <w:rPr>
                <w:b w:val="0"/>
                <w:sz w:val="17"/>
              </w:rPr>
              <w:t>Enterprise IdP (optional)</w:t>
            </w:r>
          </w:p>
        </w:tc>
        <w:tc>
          <w:tcPr>
            <w:tcW w:type="dxa" w:w="3264"/>
            <w:tcMar>
              <w:top w:w="60" w:type="dxa"/>
              <w:bottom w:w="60" w:type="dxa"/>
              <w:start w:w="90" w:type="dxa"/>
              <w:end w:w="90" w:type="dxa"/>
            </w:tcMar>
            <w:shd w:val="clear" w:fill="EEF3F8"/>
          </w:tcPr>
          <w:p>
            <w:r>
              <w:rPr>
                <w:b w:val="0"/>
                <w:sz w:val="17"/>
              </w:rPr>
              <w:t>OIDC / SAML provider</w:t>
            </w:r>
          </w:p>
        </w:tc>
        <w:tc>
          <w:tcPr>
            <w:tcW w:type="dxa" w:w="3264"/>
            <w:tcMar>
              <w:top w:w="60" w:type="dxa"/>
              <w:bottom w:w="60" w:type="dxa"/>
              <w:start w:w="90" w:type="dxa"/>
              <w:end w:w="90" w:type="dxa"/>
            </w:tcMar>
            <w:shd w:val="clear" w:fill="EEF3F8"/>
          </w:tcPr>
          <w:p>
            <w:r>
              <w:rPr>
                <w:b w:val="0"/>
                <w:sz w:val="17"/>
              </w:rPr>
              <w:t>Optional federation; Midgard has a self-contained IdP for air-gap.</w:t>
            </w:r>
          </w:p>
        </w:tc>
      </w:tr>
      <w:tr>
        <w:tc>
          <w:tcPr>
            <w:tcW w:type="dxa" w:w="3264"/>
            <w:tcMar>
              <w:top w:w="60" w:type="dxa"/>
              <w:bottom w:w="60" w:type="dxa"/>
              <w:start w:w="90" w:type="dxa"/>
              <w:end w:w="90" w:type="dxa"/>
            </w:tcMar>
            <w:shd w:val="clear" w:fill="FFFFFF"/>
          </w:tcPr>
          <w:p>
            <w:r>
              <w:rPr>
                <w:b w:val="0"/>
                <w:sz w:val="17"/>
              </w:rPr>
              <w:t>HSM / TPM</w:t>
            </w:r>
          </w:p>
        </w:tc>
        <w:tc>
          <w:tcPr>
            <w:tcW w:type="dxa" w:w="3264"/>
            <w:tcMar>
              <w:top w:w="60" w:type="dxa"/>
              <w:bottom w:w="60" w:type="dxa"/>
              <w:start w:w="90" w:type="dxa"/>
              <w:end w:w="90" w:type="dxa"/>
            </w:tcMar>
            <w:shd w:val="clear" w:fill="FFFFFF"/>
          </w:tcPr>
          <w:p>
            <w:r>
              <w:rPr>
                <w:b w:val="0"/>
                <w:sz w:val="17"/>
              </w:rPr>
              <w:t>Hardware key sealing</w:t>
            </w:r>
          </w:p>
        </w:tc>
        <w:tc>
          <w:tcPr>
            <w:tcW w:type="dxa" w:w="3264"/>
            <w:tcMar>
              <w:top w:w="60" w:type="dxa"/>
              <w:bottom w:w="60" w:type="dxa"/>
              <w:start w:w="90" w:type="dxa"/>
              <w:end w:w="90" w:type="dxa"/>
            </w:tcMar>
            <w:shd w:val="clear" w:fill="FFFFFF"/>
          </w:tcPr>
          <w:p>
            <w:r>
              <w:rPr>
                <w:b w:val="0"/>
                <w:sz w:val="17"/>
              </w:rPr>
              <w:t>Optional; wraps root key material where present. `[NFR-PQ-2]`</w:t>
            </w:r>
          </w:p>
        </w:tc>
      </w:tr>
    </w:tbl>
    <w:p/>
    <w:p>
      <w:pPr>
        <w:pStyle w:val="Heading2"/>
      </w:pPr>
      <w:r>
        <w:t>3.5 Constraints</w:t>
      </w:r>
    </w:p>
    <w:p>
      <w:pPr>
        <w:pStyle w:val="ListBullet"/>
      </w:pPr>
      <w:r>
        <w:rPr>
          <w:sz w:val="21"/>
        </w:rPr>
      </w:r>
      <w:r>
        <w:rPr>
          <w:b/>
          <w:sz w:val="21"/>
        </w:rPr>
        <w:t>Offline-capable:</w:t>
      </w:r>
      <w:r>
        <w:rPr>
          <w:sz w:val="21"/>
        </w:rPr>
        <w:t xml:space="preserve"> no core function may depend on outbound connectivity. </w:t>
      </w:r>
      <w:r>
        <w:rPr>
          <w:rFonts w:ascii="Consolas" w:hAnsi="Consolas"/>
          <w:color w:val="0B4884"/>
          <w:sz w:val="18"/>
        </w:rPr>
        <w:t>[NFR-PRV-1]</w:t>
      </w:r>
      <w:r>
        <w:rPr>
          <w:sz w:val="21"/>
        </w:rPr>
      </w:r>
    </w:p>
    <w:p>
      <w:pPr>
        <w:pStyle w:val="ListBullet"/>
      </w:pPr>
      <w:r>
        <w:rPr>
          <w:sz w:val="21"/>
        </w:rPr>
      </w:r>
      <w:r>
        <w:rPr>
          <w:b/>
          <w:sz w:val="21"/>
        </w:rPr>
        <w:t>PQ-default:</w:t>
      </w:r>
      <w:r>
        <w:rPr>
          <w:sz w:val="21"/>
        </w:rPr>
        <w:t xml:space="preserve"> classical-only cryptography is not an allowed configuration for new data. </w:t>
      </w:r>
      <w:r>
        <w:rPr>
          <w:rFonts w:ascii="Consolas" w:hAnsi="Consolas"/>
          <w:color w:val="0B4884"/>
          <w:sz w:val="18"/>
        </w:rPr>
        <w:t>[NFR-PQ-4]</w:t>
      </w:r>
      <w:r>
        <w:rPr>
          <w:sz w:val="21"/>
        </w:rPr>
      </w:r>
    </w:p>
    <w:p>
      <w:pPr>
        <w:pStyle w:val="ListBullet"/>
      </w:pPr>
      <w:r>
        <w:rPr>
          <w:sz w:val="21"/>
        </w:rPr>
      </w:r>
      <w:r>
        <w:rPr>
          <w:b/>
          <w:sz w:val="21"/>
        </w:rPr>
        <w:t>Open-core:</w:t>
      </w:r>
      <w:r>
        <w:rPr>
          <w:sz w:val="21"/>
        </w:rPr>
        <w:t xml:space="preserve"> the core must build reproducibly from source. </w:t>
      </w:r>
      <w:r>
        <w:rPr>
          <w:rFonts w:ascii="Consolas" w:hAnsi="Consolas"/>
          <w:color w:val="0B4884"/>
          <w:sz w:val="18"/>
        </w:rPr>
        <w:t>[NFR-OSS-1]</w:t>
      </w:r>
      <w:r>
        <w:rPr>
          <w:sz w:val="21"/>
        </w:rPr>
      </w:r>
    </w:p>
    <w:p>
      <w:pPr>
        <w:pStyle w:val="Heading1"/>
      </w:pPr>
      <w:r>
        <w:t>4. Architecture Drivers</w:t>
      </w:r>
    </w:p>
    <w:p>
      <w:pPr>
        <w:pStyle w:val="Heading2"/>
      </w:pPr>
      <w:r>
        <w:t>4.1 Quality goals (cross-cutting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2448"/>
        <w:gridCol w:w="2448"/>
        <w:gridCol w:w="2448"/>
        <w:gridCol w:w="2448"/>
      </w:tblGrid>
      <w:tr>
        <w:tc>
          <w:tcPr>
            <w:tcW w:type="dxa" w:w="2448"/>
            <w:shd w:val="clear" w:fill="0B4884"/>
            <w:tcMar>
              <w:top w:w="60" w:type="dxa"/>
              <w:bottom w:w="60" w:type="dxa"/>
              <w:start w:w="90" w:type="dxa"/>
              <w:end w:w="90" w:type="dxa"/>
            </w:tcMar>
          </w:tcPr>
          <w:p>
            <w:r>
              <w:rPr>
                <w:b/>
                <w:color w:val="FFFFFF"/>
                <w:sz w:val="18"/>
              </w:rPr>
              <w:t>ID</w:t>
            </w:r>
          </w:p>
        </w:tc>
        <w:tc>
          <w:tcPr>
            <w:tcW w:type="dxa" w:w="2448"/>
            <w:shd w:val="clear" w:fill="0B4884"/>
            <w:tcMar>
              <w:top w:w="60" w:type="dxa"/>
              <w:bottom w:w="60" w:type="dxa"/>
              <w:start w:w="90" w:type="dxa"/>
              <w:end w:w="90" w:type="dxa"/>
            </w:tcMar>
          </w:tcPr>
          <w:p>
            <w:r>
              <w:rPr>
                <w:b/>
                <w:color w:val="FFFFFF"/>
                <w:sz w:val="18"/>
              </w:rPr>
              <w:t>Category</w:t>
            </w:r>
          </w:p>
        </w:tc>
        <w:tc>
          <w:tcPr>
            <w:tcW w:type="dxa" w:w="2448"/>
            <w:shd w:val="clear" w:fill="0B4884"/>
            <w:tcMar>
              <w:top w:w="60" w:type="dxa"/>
              <w:bottom w:w="60" w:type="dxa"/>
              <w:start w:w="90" w:type="dxa"/>
              <w:end w:w="90" w:type="dxa"/>
            </w:tcMar>
          </w:tcPr>
          <w:p>
            <w:r>
              <w:rPr>
                <w:b/>
                <w:color w:val="FFFFFF"/>
                <w:sz w:val="18"/>
              </w:rPr>
              <w:t>Requirement</w:t>
            </w:r>
          </w:p>
        </w:tc>
        <w:tc>
          <w:tcPr>
            <w:tcW w:type="dxa" w:w="2448"/>
            <w:shd w:val="clear" w:fill="0B4884"/>
            <w:tcMar>
              <w:top w:w="60" w:type="dxa"/>
              <w:bottom w:w="60" w:type="dxa"/>
              <w:start w:w="90" w:type="dxa"/>
              <w:end w:w="90" w:type="dxa"/>
            </w:tcMar>
          </w:tcPr>
          <w:p>
            <w:r>
              <w:rPr>
                <w:b/>
                <w:color w:val="FFFFFF"/>
                <w:sz w:val="18"/>
              </w:rPr>
              <w:t>Provenance</w:t>
            </w:r>
          </w:p>
        </w:tc>
      </w:tr>
      <w:tr>
        <w:tc>
          <w:tcPr>
            <w:tcW w:type="dxa" w:w="2448"/>
            <w:tcMar>
              <w:top w:w="60" w:type="dxa"/>
              <w:bottom w:w="60" w:type="dxa"/>
              <w:start w:w="90" w:type="dxa"/>
              <w:end w:w="90" w:type="dxa"/>
            </w:tcMar>
            <w:shd w:val="clear" w:fill="FFFFFF"/>
          </w:tcPr>
          <w:p>
            <w:r>
              <w:rPr>
                <w:b w:val="0"/>
                <w:sz w:val="17"/>
              </w:rPr>
              <w:t>NFR-PQ-1</w:t>
            </w:r>
          </w:p>
        </w:tc>
        <w:tc>
          <w:tcPr>
            <w:tcW w:type="dxa" w:w="2448"/>
            <w:tcMar>
              <w:top w:w="60" w:type="dxa"/>
              <w:bottom w:w="60" w:type="dxa"/>
              <w:start w:w="90" w:type="dxa"/>
              <w:end w:w="90" w:type="dxa"/>
            </w:tcMar>
            <w:shd w:val="clear" w:fill="FFFFFF"/>
          </w:tcPr>
          <w:p>
            <w:r>
              <w:rPr>
                <w:b w:val="0"/>
                <w:sz w:val="17"/>
              </w:rPr>
              <w:t>Cryptography</w:t>
            </w:r>
          </w:p>
        </w:tc>
        <w:tc>
          <w:tcPr>
            <w:tcW w:type="dxa" w:w="2448"/>
            <w:tcMar>
              <w:top w:w="60" w:type="dxa"/>
              <w:bottom w:w="60" w:type="dxa"/>
              <w:start w:w="90" w:type="dxa"/>
              <w:end w:w="90" w:type="dxa"/>
            </w:tcMar>
            <w:shd w:val="clear" w:fill="FFFFFF"/>
          </w:tcPr>
          <w:p>
            <w:r>
              <w:rPr>
                <w:b w:val="0"/>
                <w:sz w:val="17"/>
              </w:rPr>
              <w:t>All data-in-transit uses a hybrid TLS 1.3 handshake combining X25519 with ML-KEM-768 (Kyber) key agreement.</w:t>
            </w:r>
          </w:p>
        </w:tc>
        <w:tc>
          <w:tcPr>
            <w:tcW w:type="dxa" w:w="2448"/>
            <w:tcMar>
              <w:top w:w="60" w:type="dxa"/>
              <w:bottom w:w="60" w:type="dxa"/>
              <w:start w:w="90" w:type="dxa"/>
              <w:end w:w="90" w:type="dxa"/>
            </w:tcMar>
            <w:shd w:val="clear" w:fill="FFFFFF"/>
          </w:tcPr>
          <w:p>
            <w:r>
              <w:rPr>
                <w:b w:val="0"/>
                <w:sz w:val="17"/>
              </w:rPr>
              <w:t>STD:NIST FIPS 203</w:t>
            </w:r>
          </w:p>
        </w:tc>
      </w:tr>
      <w:tr>
        <w:tc>
          <w:tcPr>
            <w:tcW w:type="dxa" w:w="2448"/>
            <w:tcMar>
              <w:top w:w="60" w:type="dxa"/>
              <w:bottom w:w="60" w:type="dxa"/>
              <w:start w:w="90" w:type="dxa"/>
              <w:end w:w="90" w:type="dxa"/>
            </w:tcMar>
            <w:shd w:val="clear" w:fill="EEF3F8"/>
          </w:tcPr>
          <w:p>
            <w:r>
              <w:rPr>
                <w:b w:val="0"/>
                <w:sz w:val="17"/>
              </w:rPr>
              <w:t>NFR-PQ-2</w:t>
            </w:r>
          </w:p>
        </w:tc>
        <w:tc>
          <w:tcPr>
            <w:tcW w:type="dxa" w:w="2448"/>
            <w:tcMar>
              <w:top w:w="60" w:type="dxa"/>
              <w:bottom w:w="60" w:type="dxa"/>
              <w:start w:w="90" w:type="dxa"/>
              <w:end w:w="90" w:type="dxa"/>
            </w:tcMar>
            <w:shd w:val="clear" w:fill="EEF3F8"/>
          </w:tcPr>
          <w:p>
            <w:r>
              <w:rPr>
                <w:b w:val="0"/>
                <w:sz w:val="17"/>
              </w:rPr>
              <w:t>Cryptography</w:t>
            </w:r>
          </w:p>
        </w:tc>
        <w:tc>
          <w:tcPr>
            <w:tcW w:type="dxa" w:w="2448"/>
            <w:tcMar>
              <w:top w:w="60" w:type="dxa"/>
              <w:bottom w:w="60" w:type="dxa"/>
              <w:start w:w="90" w:type="dxa"/>
              <w:end w:w="90" w:type="dxa"/>
            </w:tcMar>
            <w:shd w:val="clear" w:fill="EEF3F8"/>
          </w:tcPr>
          <w:p>
            <w:r>
              <w:rPr>
                <w:b w:val="0"/>
                <w:sz w:val="17"/>
              </w:rPr>
              <w:t>All data-at-rest is encrypted with AES-256-GCM under keys wrapped by ML-KEM-1024; key material is sealed to an HSM/TPM where present.</w:t>
            </w:r>
          </w:p>
        </w:tc>
        <w:tc>
          <w:tcPr>
            <w:tcW w:type="dxa" w:w="2448"/>
            <w:tcMar>
              <w:top w:w="60" w:type="dxa"/>
              <w:bottom w:w="60" w:type="dxa"/>
              <w:start w:w="90" w:type="dxa"/>
              <w:end w:w="90" w:type="dxa"/>
            </w:tcMar>
            <w:shd w:val="clear" w:fill="EEF3F8"/>
          </w:tcPr>
          <w:p>
            <w:r>
              <w:rPr>
                <w:b w:val="0"/>
                <w:sz w:val="17"/>
              </w:rPr>
              <w:t>STD:NIST FIPS 203 / FIPS 197</w:t>
            </w:r>
          </w:p>
        </w:tc>
      </w:tr>
      <w:tr>
        <w:tc>
          <w:tcPr>
            <w:tcW w:type="dxa" w:w="2448"/>
            <w:tcMar>
              <w:top w:w="60" w:type="dxa"/>
              <w:bottom w:w="60" w:type="dxa"/>
              <w:start w:w="90" w:type="dxa"/>
              <w:end w:w="90" w:type="dxa"/>
            </w:tcMar>
            <w:shd w:val="clear" w:fill="FFFFFF"/>
          </w:tcPr>
          <w:p>
            <w:r>
              <w:rPr>
                <w:b w:val="0"/>
                <w:sz w:val="17"/>
              </w:rPr>
              <w:t>NFR-PQ-3</w:t>
            </w:r>
          </w:p>
        </w:tc>
        <w:tc>
          <w:tcPr>
            <w:tcW w:type="dxa" w:w="2448"/>
            <w:tcMar>
              <w:top w:w="60" w:type="dxa"/>
              <w:bottom w:w="60" w:type="dxa"/>
              <w:start w:w="90" w:type="dxa"/>
              <w:end w:w="90" w:type="dxa"/>
            </w:tcMar>
            <w:shd w:val="clear" w:fill="FFFFFF"/>
          </w:tcPr>
          <w:p>
            <w:r>
              <w:rPr>
                <w:b w:val="0"/>
                <w:sz w:val="17"/>
              </w:rPr>
              <w:t>Cryptography</w:t>
            </w:r>
          </w:p>
        </w:tc>
        <w:tc>
          <w:tcPr>
            <w:tcW w:type="dxa" w:w="2448"/>
            <w:tcMar>
              <w:top w:w="60" w:type="dxa"/>
              <w:bottom w:w="60" w:type="dxa"/>
              <w:start w:w="90" w:type="dxa"/>
              <w:end w:w="90" w:type="dxa"/>
            </w:tcMar>
            <w:shd w:val="clear" w:fill="FFFFFF"/>
          </w:tcPr>
          <w:p>
            <w:r>
              <w:rPr>
                <w:b w:val="0"/>
                <w:sz w:val="17"/>
              </w:rPr>
              <w:t>All service-to-service and artefact-signing operations use ML-DSA (Dilithium) or SLH-DSA (SPHINCS+) signatures.</w:t>
            </w:r>
          </w:p>
        </w:tc>
        <w:tc>
          <w:tcPr>
            <w:tcW w:type="dxa" w:w="2448"/>
            <w:tcMar>
              <w:top w:w="60" w:type="dxa"/>
              <w:bottom w:w="60" w:type="dxa"/>
              <w:start w:w="90" w:type="dxa"/>
              <w:end w:w="90" w:type="dxa"/>
            </w:tcMar>
            <w:shd w:val="clear" w:fill="FFFFFF"/>
          </w:tcPr>
          <w:p>
            <w:r>
              <w:rPr>
                <w:b w:val="0"/>
                <w:sz w:val="17"/>
              </w:rPr>
              <w:t>STD:NIST FIPS 204 / FIPS 205</w:t>
            </w:r>
          </w:p>
        </w:tc>
      </w:tr>
      <w:tr>
        <w:tc>
          <w:tcPr>
            <w:tcW w:type="dxa" w:w="2448"/>
            <w:tcMar>
              <w:top w:w="60" w:type="dxa"/>
              <w:bottom w:w="60" w:type="dxa"/>
              <w:start w:w="90" w:type="dxa"/>
              <w:end w:w="90" w:type="dxa"/>
            </w:tcMar>
            <w:shd w:val="clear" w:fill="EEF3F8"/>
          </w:tcPr>
          <w:p>
            <w:r>
              <w:rPr>
                <w:b w:val="0"/>
                <w:sz w:val="17"/>
              </w:rPr>
              <w:t>NFR-PQ-4</w:t>
            </w:r>
          </w:p>
        </w:tc>
        <w:tc>
          <w:tcPr>
            <w:tcW w:type="dxa" w:w="2448"/>
            <w:tcMar>
              <w:top w:w="60" w:type="dxa"/>
              <w:bottom w:w="60" w:type="dxa"/>
              <w:start w:w="90" w:type="dxa"/>
              <w:end w:w="90" w:type="dxa"/>
            </w:tcMar>
            <w:shd w:val="clear" w:fill="EEF3F8"/>
          </w:tcPr>
          <w:p>
            <w:r>
              <w:rPr>
                <w:b w:val="0"/>
                <w:sz w:val="17"/>
              </w:rPr>
              <w:t>Cryptography</w:t>
            </w:r>
          </w:p>
        </w:tc>
        <w:tc>
          <w:tcPr>
            <w:tcW w:type="dxa" w:w="2448"/>
            <w:tcMar>
              <w:top w:w="60" w:type="dxa"/>
              <w:bottom w:w="60" w:type="dxa"/>
              <w:start w:w="90" w:type="dxa"/>
              <w:end w:w="90" w:type="dxa"/>
            </w:tcMar>
            <w:shd w:val="clear" w:fill="EEF3F8"/>
          </w:tcPr>
          <w:p>
            <w:r>
              <w:rPr>
                <w:b w:val="0"/>
                <w:sz w:val="17"/>
              </w:rPr>
              <w:t>Cryptographic agility: algorithms are negotiated, versioned, and hot-swappable without data migration; a classical+PQ hybrid mode is the default.</w:t>
            </w:r>
          </w:p>
        </w:tc>
        <w:tc>
          <w:tcPr>
            <w:tcW w:type="dxa" w:w="2448"/>
            <w:tcMar>
              <w:top w:w="60" w:type="dxa"/>
              <w:bottom w:w="60" w:type="dxa"/>
              <w:start w:w="90" w:type="dxa"/>
              <w:end w:w="90" w:type="dxa"/>
            </w:tcMar>
            <w:shd w:val="clear" w:fill="EEF3F8"/>
          </w:tcPr>
          <w:p>
            <w:r>
              <w:rPr>
                <w:b w:val="0"/>
                <w:sz w:val="17"/>
              </w:rPr>
              <w:t>STD:NIST SP 1800-38</w:t>
            </w:r>
          </w:p>
        </w:tc>
      </w:tr>
      <w:tr>
        <w:tc>
          <w:tcPr>
            <w:tcW w:type="dxa" w:w="2448"/>
            <w:tcMar>
              <w:top w:w="60" w:type="dxa"/>
              <w:bottom w:w="60" w:type="dxa"/>
              <w:start w:w="90" w:type="dxa"/>
              <w:end w:w="90" w:type="dxa"/>
            </w:tcMar>
            <w:shd w:val="clear" w:fill="FFFFFF"/>
          </w:tcPr>
          <w:p>
            <w:r>
              <w:rPr>
                <w:b w:val="0"/>
                <w:sz w:val="17"/>
              </w:rPr>
              <w:t>NFR-SEC-1</w:t>
            </w:r>
          </w:p>
        </w:tc>
        <w:tc>
          <w:tcPr>
            <w:tcW w:type="dxa" w:w="2448"/>
            <w:tcMar>
              <w:top w:w="60" w:type="dxa"/>
              <w:bottom w:w="60" w:type="dxa"/>
              <w:start w:w="90" w:type="dxa"/>
              <w:end w:w="90" w:type="dxa"/>
            </w:tcMar>
            <w:shd w:val="clear" w:fill="FFFFFF"/>
          </w:tcPr>
          <w:p>
            <w:r>
              <w:rPr>
                <w:b w:val="0"/>
                <w:sz w:val="17"/>
              </w:rPr>
              <w:t>Security</w:t>
            </w:r>
          </w:p>
        </w:tc>
        <w:tc>
          <w:tcPr>
            <w:tcW w:type="dxa" w:w="2448"/>
            <w:tcMar>
              <w:top w:w="60" w:type="dxa"/>
              <w:bottom w:w="60" w:type="dxa"/>
              <w:start w:w="90" w:type="dxa"/>
              <w:end w:w="90" w:type="dxa"/>
            </w:tcMar>
            <w:shd w:val="clear" w:fill="FFFFFF"/>
          </w:tcPr>
          <w:p>
            <w:r>
              <w:rPr>
                <w:b w:val="0"/>
                <w:sz w:val="17"/>
              </w:rPr>
              <w:t>Zero-trust: every request between components is mutually authenticated and authorised on identity, device posture, and purpose.</w:t>
            </w:r>
          </w:p>
        </w:tc>
        <w:tc>
          <w:tcPr>
            <w:tcW w:type="dxa" w:w="2448"/>
            <w:tcMar>
              <w:top w:w="60" w:type="dxa"/>
              <w:bottom w:w="60" w:type="dxa"/>
              <w:start w:w="90" w:type="dxa"/>
              <w:end w:w="90" w:type="dxa"/>
            </w:tcMar>
            <w:shd w:val="clear" w:fill="FFFFFF"/>
          </w:tcPr>
          <w:p>
            <w:r>
              <w:rPr>
                <w:b w:val="0"/>
                <w:sz w:val="17"/>
              </w:rPr>
              <w:t>STD:NIST SP 800-207</w:t>
            </w:r>
          </w:p>
        </w:tc>
      </w:tr>
      <w:tr>
        <w:tc>
          <w:tcPr>
            <w:tcW w:type="dxa" w:w="2448"/>
            <w:tcMar>
              <w:top w:w="60" w:type="dxa"/>
              <w:bottom w:w="60" w:type="dxa"/>
              <w:start w:w="90" w:type="dxa"/>
              <w:end w:w="90" w:type="dxa"/>
            </w:tcMar>
            <w:shd w:val="clear" w:fill="EEF3F8"/>
          </w:tcPr>
          <w:p>
            <w:r>
              <w:rPr>
                <w:b w:val="0"/>
                <w:sz w:val="17"/>
              </w:rPr>
              <w:t>NFR-SEC-2</w:t>
            </w:r>
          </w:p>
        </w:tc>
        <w:tc>
          <w:tcPr>
            <w:tcW w:type="dxa" w:w="2448"/>
            <w:tcMar>
              <w:top w:w="60" w:type="dxa"/>
              <w:bottom w:w="60" w:type="dxa"/>
              <w:start w:w="90" w:type="dxa"/>
              <w:end w:w="90" w:type="dxa"/>
            </w:tcMar>
            <w:shd w:val="clear" w:fill="EEF3F8"/>
          </w:tcPr>
          <w:p>
            <w:r>
              <w:rPr>
                <w:b w:val="0"/>
                <w:sz w:val="17"/>
              </w:rPr>
              <w:t>Security</w:t>
            </w:r>
          </w:p>
        </w:tc>
        <w:tc>
          <w:tcPr>
            <w:tcW w:type="dxa" w:w="2448"/>
            <w:tcMar>
              <w:top w:w="60" w:type="dxa"/>
              <w:bottom w:w="60" w:type="dxa"/>
              <w:start w:w="90" w:type="dxa"/>
              <w:end w:w="90" w:type="dxa"/>
            </w:tcMar>
            <w:shd w:val="clear" w:fill="EEF3F8"/>
          </w:tcPr>
          <w:p>
            <w:r>
              <w:rPr>
                <w:b w:val="0"/>
                <w:sz w:val="17"/>
              </w:rPr>
              <w:t>Role-, marking-, and purpose-based access control is enforced at the data and object layer, with full audit lineage.</w:t>
            </w:r>
          </w:p>
        </w:tc>
        <w:tc>
          <w:tcPr>
            <w:tcW w:type="dxa" w:w="2448"/>
            <w:tcMar>
              <w:top w:w="60" w:type="dxa"/>
              <w:bottom w:w="60" w:type="dxa"/>
              <w:start w:w="90" w:type="dxa"/>
              <w:end w:w="90" w:type="dxa"/>
            </w:tcMar>
            <w:shd w:val="clear" w:fill="EEF3F8"/>
          </w:tcPr>
          <w:p>
            <w:r>
              <w:rPr>
                <w:b w:val="0"/>
                <w:sz w:val="17"/>
              </w:rPr>
              <w:t>STD:NIST AC-3 / AC-16</w:t>
            </w:r>
          </w:p>
        </w:tc>
      </w:tr>
      <w:tr>
        <w:tc>
          <w:tcPr>
            <w:tcW w:type="dxa" w:w="2448"/>
            <w:tcMar>
              <w:top w:w="60" w:type="dxa"/>
              <w:bottom w:w="60" w:type="dxa"/>
              <w:start w:w="90" w:type="dxa"/>
              <w:end w:w="90" w:type="dxa"/>
            </w:tcMar>
            <w:shd w:val="clear" w:fill="FFFFFF"/>
          </w:tcPr>
          <w:p>
            <w:r>
              <w:rPr>
                <w:b w:val="0"/>
                <w:sz w:val="17"/>
              </w:rPr>
              <w:t>NFR-AVA-1</w:t>
            </w:r>
          </w:p>
        </w:tc>
        <w:tc>
          <w:tcPr>
            <w:tcW w:type="dxa" w:w="2448"/>
            <w:tcMar>
              <w:top w:w="60" w:type="dxa"/>
              <w:bottom w:w="60" w:type="dxa"/>
              <w:start w:w="90" w:type="dxa"/>
              <w:end w:w="90" w:type="dxa"/>
            </w:tcMar>
            <w:shd w:val="clear" w:fill="FFFFFF"/>
          </w:tcPr>
          <w:p>
            <w:r>
              <w:rPr>
                <w:b w:val="0"/>
                <w:sz w:val="17"/>
              </w:rPr>
              <w:t>Availability</w:t>
            </w:r>
          </w:p>
        </w:tc>
        <w:tc>
          <w:tcPr>
            <w:tcW w:type="dxa" w:w="2448"/>
            <w:tcMar>
              <w:top w:w="60" w:type="dxa"/>
              <w:bottom w:w="60" w:type="dxa"/>
              <w:start w:w="90" w:type="dxa"/>
              <w:end w:w="90" w:type="dxa"/>
            </w:tcMar>
            <w:shd w:val="clear" w:fill="FFFFFF"/>
          </w:tcPr>
          <w:p>
            <w:r>
              <w:rPr>
                <w:b w:val="0"/>
                <w:sz w:val="17"/>
              </w:rPr>
              <w:t>Core control-plane services target 99.9% availability; the platform supports zero-downtime rolling upgrades.</w:t>
            </w:r>
          </w:p>
        </w:tc>
        <w:tc>
          <w:tcPr>
            <w:tcW w:type="dxa" w:w="2448"/>
            <w:tcMar>
              <w:top w:w="60" w:type="dxa"/>
              <w:bottom w:w="60" w:type="dxa"/>
              <w:start w:w="90" w:type="dxa"/>
              <w:end w:w="90" w:type="dxa"/>
            </w:tcMar>
            <w:shd w:val="clear" w:fill="FFFFFF"/>
          </w:tcPr>
          <w:p>
            <w:r>
              <w:rPr>
                <w:b w:val="0"/>
                <w:sz w:val="17"/>
              </w:rPr>
              <w:t>DD-1</w:t>
            </w:r>
          </w:p>
        </w:tc>
      </w:tr>
      <w:tr>
        <w:tc>
          <w:tcPr>
            <w:tcW w:type="dxa" w:w="2448"/>
            <w:tcMar>
              <w:top w:w="60" w:type="dxa"/>
              <w:bottom w:w="60" w:type="dxa"/>
              <w:start w:w="90" w:type="dxa"/>
              <w:end w:w="90" w:type="dxa"/>
            </w:tcMar>
            <w:shd w:val="clear" w:fill="EEF3F8"/>
          </w:tcPr>
          <w:p>
            <w:r>
              <w:rPr>
                <w:b w:val="0"/>
                <w:sz w:val="17"/>
              </w:rPr>
              <w:t>NFR-PRV-1</w:t>
            </w:r>
          </w:p>
        </w:tc>
        <w:tc>
          <w:tcPr>
            <w:tcW w:type="dxa" w:w="2448"/>
            <w:tcMar>
              <w:top w:w="60" w:type="dxa"/>
              <w:bottom w:w="60" w:type="dxa"/>
              <w:start w:w="90" w:type="dxa"/>
              <w:end w:w="90" w:type="dxa"/>
            </w:tcMar>
            <w:shd w:val="clear" w:fill="EEF3F8"/>
          </w:tcPr>
          <w:p>
            <w:r>
              <w:rPr>
                <w:b w:val="0"/>
                <w:sz w:val="17"/>
              </w:rPr>
              <w:t>Privacy/Sovereignty</w:t>
            </w:r>
          </w:p>
        </w:tc>
        <w:tc>
          <w:tcPr>
            <w:tcW w:type="dxa" w:w="2448"/>
            <w:tcMar>
              <w:top w:w="60" w:type="dxa"/>
              <w:bottom w:w="60" w:type="dxa"/>
              <w:start w:w="90" w:type="dxa"/>
              <w:end w:w="90" w:type="dxa"/>
            </w:tcMar>
            <w:shd w:val="clear" w:fill="EEF3F8"/>
          </w:tcPr>
          <w:p>
            <w:r>
              <w:rPr>
                <w:b w:val="0"/>
                <w:sz w:val="17"/>
              </w:rPr>
              <w:t>The suite runs fully offline / air-gapped with no outbound network dependency for any core function.</w:t>
            </w:r>
          </w:p>
        </w:tc>
        <w:tc>
          <w:tcPr>
            <w:tcW w:type="dxa" w:w="2448"/>
            <w:tcMar>
              <w:top w:w="60" w:type="dxa"/>
              <w:bottom w:w="60" w:type="dxa"/>
              <w:start w:w="90" w:type="dxa"/>
              <w:end w:w="90" w:type="dxa"/>
            </w:tcMar>
            <w:shd w:val="clear" w:fill="EEF3F8"/>
          </w:tcPr>
          <w:p>
            <w:r>
              <w:rPr>
                <w:b w:val="0"/>
                <w:sz w:val="17"/>
              </w:rPr>
              <w:t>DD-7</w:t>
            </w:r>
          </w:p>
        </w:tc>
      </w:tr>
      <w:tr>
        <w:tc>
          <w:tcPr>
            <w:tcW w:type="dxa" w:w="2448"/>
            <w:tcMar>
              <w:top w:w="60" w:type="dxa"/>
              <w:bottom w:w="60" w:type="dxa"/>
              <w:start w:w="90" w:type="dxa"/>
              <w:end w:w="90" w:type="dxa"/>
            </w:tcMar>
            <w:shd w:val="clear" w:fill="FFFFFF"/>
          </w:tcPr>
          <w:p>
            <w:r>
              <w:rPr>
                <w:b w:val="0"/>
                <w:sz w:val="17"/>
              </w:rPr>
              <w:t>NFR-OSS-1</w:t>
            </w:r>
          </w:p>
        </w:tc>
        <w:tc>
          <w:tcPr>
            <w:tcW w:type="dxa" w:w="2448"/>
            <w:tcMar>
              <w:top w:w="60" w:type="dxa"/>
              <w:bottom w:w="60" w:type="dxa"/>
              <w:start w:w="90" w:type="dxa"/>
              <w:end w:w="90" w:type="dxa"/>
            </w:tcMar>
            <w:shd w:val="clear" w:fill="FFFFFF"/>
          </w:tcPr>
          <w:p>
            <w:r>
              <w:rPr>
                <w:b w:val="0"/>
                <w:sz w:val="17"/>
              </w:rPr>
              <w:t>Openness</w:t>
            </w:r>
          </w:p>
        </w:tc>
        <w:tc>
          <w:tcPr>
            <w:tcW w:type="dxa" w:w="2448"/>
            <w:tcMar>
              <w:top w:w="60" w:type="dxa"/>
              <w:bottom w:w="60" w:type="dxa"/>
              <w:start w:w="90" w:type="dxa"/>
              <w:end w:w="90" w:type="dxa"/>
            </w:tcMar>
            <w:shd w:val="clear" w:fill="FFFFFF"/>
          </w:tcPr>
          <w:p>
            <w:r>
              <w:rPr>
                <w:b w:val="0"/>
                <w:sz w:val="17"/>
              </w:rPr>
              <w:t>All core components build reproducibly from source; an SBOM (CycloneDX) is emitted per release.</w:t>
            </w:r>
          </w:p>
        </w:tc>
        <w:tc>
          <w:tcPr>
            <w:tcW w:type="dxa" w:w="2448"/>
            <w:tcMar>
              <w:top w:w="60" w:type="dxa"/>
              <w:bottom w:w="60" w:type="dxa"/>
              <w:start w:w="90" w:type="dxa"/>
              <w:end w:w="90" w:type="dxa"/>
            </w:tcMar>
            <w:shd w:val="clear" w:fill="FFFFFF"/>
          </w:tcPr>
          <w:p>
            <w:r>
              <w:rPr>
                <w:b w:val="0"/>
                <w:sz w:val="17"/>
              </w:rPr>
              <w:t>DD-2</w:t>
            </w:r>
          </w:p>
        </w:tc>
      </w:tr>
      <w:tr>
        <w:tc>
          <w:tcPr>
            <w:tcW w:type="dxa" w:w="2448"/>
            <w:tcMar>
              <w:top w:w="60" w:type="dxa"/>
              <w:bottom w:w="60" w:type="dxa"/>
              <w:start w:w="90" w:type="dxa"/>
              <w:end w:w="90" w:type="dxa"/>
            </w:tcMar>
            <w:shd w:val="clear" w:fill="EEF3F8"/>
          </w:tcPr>
          <w:p>
            <w:r>
              <w:rPr>
                <w:b w:val="0"/>
                <w:sz w:val="17"/>
              </w:rPr>
              <w:t>NFR-PERF-1</w:t>
            </w:r>
          </w:p>
        </w:tc>
        <w:tc>
          <w:tcPr>
            <w:tcW w:type="dxa" w:w="2448"/>
            <w:tcMar>
              <w:top w:w="60" w:type="dxa"/>
              <w:bottom w:w="60" w:type="dxa"/>
              <w:start w:w="90" w:type="dxa"/>
              <w:end w:w="90" w:type="dxa"/>
            </w:tcMar>
            <w:shd w:val="clear" w:fill="EEF3F8"/>
          </w:tcPr>
          <w:p>
            <w:r>
              <w:rPr>
                <w:b w:val="0"/>
                <w:sz w:val="17"/>
              </w:rPr>
              <w:t>Performance</w:t>
            </w:r>
          </w:p>
        </w:tc>
        <w:tc>
          <w:tcPr>
            <w:tcW w:type="dxa" w:w="2448"/>
            <w:tcMar>
              <w:top w:w="60" w:type="dxa"/>
              <w:bottom w:w="60" w:type="dxa"/>
              <w:start w:w="90" w:type="dxa"/>
              <w:end w:w="90" w:type="dxa"/>
            </w:tcMar>
            <w:shd w:val="clear" w:fill="EEF3F8"/>
          </w:tcPr>
          <w:p>
            <w:r>
              <w:rPr>
                <w:b w:val="0"/>
                <w:sz w:val="17"/>
              </w:rPr>
              <w:t>Local inference first-token latency target &lt; 800 ms on reference hardware (1×80GB GPU class); batch throughput scales horizontally.</w:t>
            </w:r>
          </w:p>
        </w:tc>
        <w:tc>
          <w:tcPr>
            <w:tcW w:type="dxa" w:w="2448"/>
            <w:tcMar>
              <w:top w:w="60" w:type="dxa"/>
              <w:bottom w:w="60" w:type="dxa"/>
              <w:start w:w="90" w:type="dxa"/>
              <w:end w:w="90" w:type="dxa"/>
            </w:tcMar>
            <w:shd w:val="clear" w:fill="EEF3F8"/>
          </w:tcPr>
          <w:p>
            <w:r>
              <w:rPr>
                <w:b w:val="0"/>
                <w:sz w:val="17"/>
              </w:rPr>
              <w:t>DD-4</w:t>
            </w:r>
          </w:p>
        </w:tc>
      </w:tr>
      <w:tr>
        <w:tc>
          <w:tcPr>
            <w:tcW w:type="dxa" w:w="2448"/>
            <w:tcMar>
              <w:top w:w="60" w:type="dxa"/>
              <w:bottom w:w="60" w:type="dxa"/>
              <w:start w:w="90" w:type="dxa"/>
              <w:end w:w="90" w:type="dxa"/>
            </w:tcMar>
            <w:shd w:val="clear" w:fill="FFFFFF"/>
          </w:tcPr>
          <w:p>
            <w:r>
              <w:rPr>
                <w:b w:val="0"/>
                <w:sz w:val="17"/>
              </w:rPr>
              <w:t>NFR-AI-1</w:t>
            </w:r>
          </w:p>
        </w:tc>
        <w:tc>
          <w:tcPr>
            <w:tcW w:type="dxa" w:w="2448"/>
            <w:tcMar>
              <w:top w:w="60" w:type="dxa"/>
              <w:bottom w:w="60" w:type="dxa"/>
              <w:start w:w="90" w:type="dxa"/>
              <w:end w:w="90" w:type="dxa"/>
            </w:tcMar>
            <w:shd w:val="clear" w:fill="FFFFFF"/>
          </w:tcPr>
          <w:p>
            <w:r>
              <w:rPr>
                <w:b w:val="0"/>
                <w:sz w:val="17"/>
              </w:rPr>
              <w:t>AI Governance</w:t>
            </w:r>
          </w:p>
        </w:tc>
        <w:tc>
          <w:tcPr>
            <w:tcW w:type="dxa" w:w="2448"/>
            <w:tcMar>
              <w:top w:w="60" w:type="dxa"/>
              <w:bottom w:w="60" w:type="dxa"/>
              <w:start w:w="90" w:type="dxa"/>
              <w:end w:w="90" w:type="dxa"/>
            </w:tcMar>
            <w:shd w:val="clear" w:fill="FFFFFF"/>
          </w:tcPr>
          <w:p>
            <w:r>
              <w:rPr>
                <w:b w:val="0"/>
                <w:sz w:val="17"/>
              </w:rPr>
              <w:t>Every agentic action is traceable, evaluated against an Evals suite, and reversible or human-gated where it mutates state.</w:t>
            </w:r>
          </w:p>
        </w:tc>
        <w:tc>
          <w:tcPr>
            <w:tcW w:type="dxa" w:w="2448"/>
            <w:tcMar>
              <w:top w:w="60" w:type="dxa"/>
              <w:bottom w:w="60" w:type="dxa"/>
              <w:start w:w="90" w:type="dxa"/>
              <w:end w:w="90" w:type="dxa"/>
            </w:tcMar>
            <w:shd w:val="clear" w:fill="FFFFFF"/>
          </w:tcPr>
          <w:p>
            <w:r>
              <w:rPr>
                <w:b w:val="0"/>
                <w:sz w:val="17"/>
              </w:rPr>
              <w:t>DD-5</w:t>
            </w:r>
          </w:p>
        </w:tc>
      </w:tr>
    </w:tbl>
    <w:p/>
    <w:p>
      <w:pPr>
        <w:pStyle w:val="Heading2"/>
      </w:pPr>
      <w:r>
        <w:t>4.2 Architecturally significant requirements</w:t>
      </w:r>
    </w:p>
    <w:p>
      <w:pPr>
        <w:pStyle w:val="ListBullet"/>
      </w:pPr>
      <w:r>
        <w:rPr>
          <w:sz w:val="21"/>
        </w:rPr>
        <w:t xml:space="preserve">The object fabric must enforce role-, marking-, and purpose-based access at query time across humans and agents. </w:t>
      </w:r>
      <w:r>
        <w:rPr>
          <w:rFonts w:ascii="Consolas" w:hAnsi="Consolas"/>
          <w:color w:val="0B4884"/>
          <w:sz w:val="18"/>
        </w:rPr>
        <w:t>[NFR-SEC-2]</w:t>
      </w:r>
      <w:r>
        <w:rPr>
          <w:sz w:val="21"/>
        </w:rPr>
      </w:r>
    </w:p>
    <w:p>
      <w:pPr>
        <w:pStyle w:val="ListBullet"/>
      </w:pPr>
      <w:r>
        <w:rPr>
          <w:sz w:val="21"/>
        </w:rPr>
        <w:t xml:space="preserve">Cryptographic algorithms must be negotiated and hot-swappable without data migration. </w:t>
      </w:r>
      <w:r>
        <w:rPr>
          <w:rFonts w:ascii="Consolas" w:hAnsi="Consolas"/>
          <w:color w:val="0B4884"/>
          <w:sz w:val="18"/>
        </w:rPr>
        <w:t>[NFR-PQ-4]</w:t>
      </w:r>
      <w:r>
        <w:rPr>
          <w:sz w:val="21"/>
        </w:rPr>
      </w:r>
    </w:p>
    <w:p>
      <w:pPr>
        <w:pStyle w:val="ListBullet"/>
      </w:pPr>
      <w:r>
        <w:rPr>
          <w:sz w:val="21"/>
        </w:rPr>
        <w:t xml:space="preserve">The platform must support zero-downtime rolling upgrades orchestrated by Bifrost. </w:t>
      </w:r>
      <w:r>
        <w:rPr>
          <w:rFonts w:ascii="Consolas" w:hAnsi="Consolas"/>
          <w:color w:val="0B4884"/>
          <w:sz w:val="18"/>
        </w:rPr>
        <w:t>[NFR-AVA-1]</w:t>
      </w:r>
      <w:r>
        <w:rPr>
          <w:sz w:val="21"/>
        </w:rPr>
      </w:r>
    </w:p>
    <w:p>
      <w:pPr>
        <w:pStyle w:val="Heading2"/>
      </w:pPr>
      <w:r>
        <w:t>4.3 Assumptions</w:t>
      </w:r>
    </w:p>
    <w:p>
      <w:pPr>
        <w:pStyle w:val="ListBullet"/>
      </w:pPr>
      <w:r>
        <w:rPr>
          <w:sz w:val="21"/>
        </w:rPr>
        <w:t xml:space="preserve">Reference hardware includes at least one GPU of the 80GB class for Mimir inference. </w:t>
      </w:r>
      <w:r>
        <w:rPr>
          <w:rFonts w:ascii="Consolas" w:hAnsi="Consolas"/>
          <w:color w:val="0B4884"/>
          <w:sz w:val="18"/>
        </w:rPr>
        <w:t>[NFR-PERF-1]</w:t>
      </w:r>
      <w:r>
        <w:rPr>
          <w:sz w:val="21"/>
        </w:rPr>
      </w:r>
    </w:p>
    <w:p>
      <w:pPr>
        <w:pStyle w:val="ListBullet"/>
      </w:pPr>
      <w:r>
        <w:rPr>
          <w:sz w:val="21"/>
        </w:rPr>
        <w:t xml:space="preserve">Deployments possess a trust root (HSM/TPM or software-sealed) for key custody. </w:t>
      </w:r>
      <w:r>
        <w:rPr>
          <w:rFonts w:ascii="Consolas" w:hAnsi="Consolas"/>
          <w:color w:val="0B4884"/>
          <w:sz w:val="18"/>
        </w:rPr>
        <w:t>[NFR-PQ-2]</w:t>
      </w:r>
      <w:r>
        <w:rPr>
          <w:sz w:val="21"/>
        </w:rPr>
      </w:r>
    </w:p>
    <w:p>
      <w:pPr>
        <w:pStyle w:val="Heading1"/>
      </w:pPr>
      <w:r>
        <w:t>5. Solution Strategy</w:t>
      </w:r>
    </w:p>
    <w:p>
      <w:pPr>
        <w:pStyle w:val="Heading2"/>
      </w:pPr>
      <w:r>
        <w:t>5.1 Technology decisions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Rationale / provenance</w:t>
            </w:r>
          </w:p>
        </w:tc>
      </w:tr>
      <w:tr>
        <w:tc>
          <w:tcPr>
            <w:tcW w:type="dxa" w:w="3264"/>
            <w:tcMar>
              <w:top w:w="60" w:type="dxa"/>
              <w:bottom w:w="60" w:type="dxa"/>
              <w:start w:w="90" w:type="dxa"/>
              <w:end w:w="90" w:type="dxa"/>
            </w:tcMar>
            <w:shd w:val="clear" w:fill="FFFFFF"/>
          </w:tcPr>
          <w:p>
            <w:r>
              <w:rPr>
                <w:b w:val="0"/>
                <w:sz w:val="17"/>
              </w:rPr>
              <w:t>Inter-service transport</w:t>
            </w:r>
          </w:p>
        </w:tc>
        <w:tc>
          <w:tcPr>
            <w:tcW w:type="dxa" w:w="3264"/>
            <w:tcMar>
              <w:top w:w="60" w:type="dxa"/>
              <w:bottom w:w="60" w:type="dxa"/>
              <w:start w:w="90" w:type="dxa"/>
              <w:end w:w="90" w:type="dxa"/>
            </w:tcMar>
            <w:shd w:val="clear" w:fill="FFFFFF"/>
          </w:tcPr>
          <w:p>
            <w:r>
              <w:rPr>
                <w:b w:val="0"/>
                <w:sz w:val="17"/>
              </w:rPr>
              <w:t>gRPC over hybrid-PQ mTLS (X25519+ML-KEM-768)</w:t>
            </w:r>
          </w:p>
        </w:tc>
        <w:tc>
          <w:tcPr>
            <w:tcW w:type="dxa" w:w="3264"/>
            <w:tcMar>
              <w:top w:w="60" w:type="dxa"/>
              <w:bottom w:w="60" w:type="dxa"/>
              <w:start w:w="90" w:type="dxa"/>
              <w:end w:w="90" w:type="dxa"/>
            </w:tcMar>
            <w:shd w:val="clear" w:fill="FFFFFF"/>
          </w:tcPr>
          <w:p>
            <w:r>
              <w:rPr>
                <w:b w:val="0"/>
                <w:sz w:val="17"/>
              </w:rPr>
              <w:t>Zero-trust, PQ-in-transit. `[NFR-PQ-1]` `[NFR-SEC-1]`</w:t>
            </w:r>
          </w:p>
        </w:tc>
      </w:tr>
      <w:tr>
        <w:tc>
          <w:tcPr>
            <w:tcW w:type="dxa" w:w="3264"/>
            <w:tcMar>
              <w:top w:w="60" w:type="dxa"/>
              <w:bottom w:w="60" w:type="dxa"/>
              <w:start w:w="90" w:type="dxa"/>
              <w:end w:w="90" w:type="dxa"/>
            </w:tcMar>
            <w:shd w:val="clear" w:fill="EEF3F8"/>
          </w:tcPr>
          <w:p>
            <w:r>
              <w:rPr>
                <w:b w:val="0"/>
                <w:sz w:val="17"/>
              </w:rPr>
              <w:t>Object store</w:t>
            </w:r>
          </w:p>
        </w:tc>
        <w:tc>
          <w:tcPr>
            <w:tcW w:type="dxa" w:w="3264"/>
            <w:tcMar>
              <w:top w:w="60" w:type="dxa"/>
              <w:bottom w:w="60" w:type="dxa"/>
              <w:start w:w="90" w:type="dxa"/>
              <w:end w:w="90" w:type="dxa"/>
            </w:tcMar>
            <w:shd w:val="clear" w:fill="EEF3F8"/>
          </w:tcPr>
          <w:p>
            <w:r>
              <w:rPr>
                <w:b w:val="0"/>
                <w:sz w:val="17"/>
              </w:rPr>
              <w:t>Columnar + inverted-index store with incremental indexing</w:t>
            </w:r>
          </w:p>
        </w:tc>
        <w:tc>
          <w:tcPr>
            <w:tcW w:type="dxa" w:w="3264"/>
            <w:tcMar>
              <w:top w:w="60" w:type="dxa"/>
              <w:bottom w:w="60" w:type="dxa"/>
              <w:start w:w="90" w:type="dxa"/>
              <w:end w:w="90" w:type="dxa"/>
            </w:tcMar>
            <w:shd w:val="clear" w:fill="EEF3F8"/>
          </w:tcPr>
          <w:p>
            <w:r>
              <w:rPr>
                <w:b w:val="0"/>
                <w:sz w:val="17"/>
              </w:rPr>
              <w:t>Fast object query at scale; parity-plus vs Palantir OSv2. `[DD-1]`</w:t>
            </w:r>
          </w:p>
        </w:tc>
      </w:tr>
      <w:tr>
        <w:tc>
          <w:tcPr>
            <w:tcW w:type="dxa" w:w="3264"/>
            <w:tcMar>
              <w:top w:w="60" w:type="dxa"/>
              <w:bottom w:w="60" w:type="dxa"/>
              <w:start w:w="90" w:type="dxa"/>
              <w:end w:w="90" w:type="dxa"/>
            </w:tcMar>
            <w:shd w:val="clear" w:fill="FFFFFF"/>
          </w:tcPr>
          <w:p>
            <w:r>
              <w:rPr>
                <w:b w:val="0"/>
                <w:sz w:val="17"/>
              </w:rPr>
              <w:t>Compute</w:t>
            </w:r>
          </w:p>
        </w:tc>
        <w:tc>
          <w:tcPr>
            <w:tcW w:type="dxa" w:w="3264"/>
            <w:tcMar>
              <w:top w:w="60" w:type="dxa"/>
              <w:bottom w:w="60" w:type="dxa"/>
              <w:start w:w="90" w:type="dxa"/>
              <w:end w:w="90" w:type="dxa"/>
            </w:tcMar>
            <w:shd w:val="clear" w:fill="FFFFFF"/>
          </w:tcPr>
          <w:p>
            <w:r>
              <w:rPr>
                <w:b w:val="0"/>
                <w:sz w:val="17"/>
              </w:rPr>
              <w:t>Kubernetes-based autoscaling mesh; batch + stream</w:t>
            </w:r>
          </w:p>
        </w:tc>
        <w:tc>
          <w:tcPr>
            <w:tcW w:type="dxa" w:w="3264"/>
            <w:tcMar>
              <w:top w:w="60" w:type="dxa"/>
              <w:bottom w:w="60" w:type="dxa"/>
              <w:start w:w="90" w:type="dxa"/>
              <w:end w:w="90" w:type="dxa"/>
            </w:tcMar>
            <w:shd w:val="clear" w:fill="FFFFFF"/>
          </w:tcPr>
          <w:p>
            <w:r>
              <w:rPr>
                <w:b w:val="0"/>
                <w:sz w:val="17"/>
              </w:rPr>
              <w:t>Zero-downtime upgrades; horizontal scale. `[NFR-AVA-1]`</w:t>
            </w:r>
          </w:p>
        </w:tc>
      </w:tr>
      <w:tr>
        <w:tc>
          <w:tcPr>
            <w:tcW w:type="dxa" w:w="3264"/>
            <w:tcMar>
              <w:top w:w="60" w:type="dxa"/>
              <w:bottom w:w="60" w:type="dxa"/>
              <w:start w:w="90" w:type="dxa"/>
              <w:end w:w="90" w:type="dxa"/>
            </w:tcMar>
            <w:shd w:val="clear" w:fill="EEF3F8"/>
          </w:tcPr>
          <w:p>
            <w:r>
              <w:rPr>
                <w:b w:val="0"/>
                <w:sz w:val="17"/>
              </w:rPr>
              <w:t>Identity</w:t>
            </w:r>
          </w:p>
        </w:tc>
        <w:tc>
          <w:tcPr>
            <w:tcW w:type="dxa" w:w="3264"/>
            <w:tcMar>
              <w:top w:w="60" w:type="dxa"/>
              <w:bottom w:w="60" w:type="dxa"/>
              <w:start w:w="90" w:type="dxa"/>
              <w:end w:w="90" w:type="dxa"/>
            </w:tcMar>
            <w:shd w:val="clear" w:fill="EEF3F8"/>
          </w:tcPr>
          <w:p>
            <w:r>
              <w:rPr>
                <w:b w:val="0"/>
                <w:sz w:val="17"/>
              </w:rPr>
              <w:t>Self-contained OIDC IdP with optional federation</w:t>
            </w:r>
          </w:p>
        </w:tc>
        <w:tc>
          <w:tcPr>
            <w:tcW w:type="dxa" w:w="3264"/>
            <w:tcMar>
              <w:top w:w="60" w:type="dxa"/>
              <w:bottom w:w="60" w:type="dxa"/>
              <w:start w:w="90" w:type="dxa"/>
              <w:end w:w="90" w:type="dxa"/>
            </w:tcMar>
            <w:shd w:val="clear" w:fill="EEF3F8"/>
          </w:tcPr>
          <w:p>
            <w:r>
              <w:rPr>
                <w:b w:val="0"/>
                <w:sz w:val="17"/>
              </w:rPr>
              <w:t>Air-gap capability. `[NFR-PRV-1]`</w:t>
            </w:r>
          </w:p>
        </w:tc>
      </w:tr>
      <w:tr>
        <w:tc>
          <w:tcPr>
            <w:tcW w:type="dxa" w:w="3264"/>
            <w:tcMar>
              <w:top w:w="60" w:type="dxa"/>
              <w:bottom w:w="60" w:type="dxa"/>
              <w:start w:w="90" w:type="dxa"/>
              <w:end w:w="90" w:type="dxa"/>
            </w:tcMar>
            <w:shd w:val="clear" w:fill="FFFFFF"/>
          </w:tcPr>
          <w:p>
            <w:r>
              <w:rPr>
                <w:b w:val="0"/>
                <w:sz w:val="17"/>
              </w:rPr>
              <w:t>Crypto library</w:t>
            </w:r>
          </w:p>
        </w:tc>
        <w:tc>
          <w:tcPr>
            <w:tcW w:type="dxa" w:w="3264"/>
            <w:tcMar>
              <w:top w:w="60" w:type="dxa"/>
              <w:bottom w:w="60" w:type="dxa"/>
              <w:start w:w="90" w:type="dxa"/>
              <w:end w:w="90" w:type="dxa"/>
            </w:tcMar>
            <w:shd w:val="clear" w:fill="FFFFFF"/>
          </w:tcPr>
          <w:p>
            <w:r>
              <w:rPr>
                <w:b w:val="0"/>
                <w:sz w:val="17"/>
              </w:rPr>
              <w:t>Vetted PQC implementation (liboqs-class) behind an agility shim</w:t>
            </w:r>
          </w:p>
        </w:tc>
        <w:tc>
          <w:tcPr>
            <w:tcW w:type="dxa" w:w="3264"/>
            <w:tcMar>
              <w:top w:w="60" w:type="dxa"/>
              <w:bottom w:w="60" w:type="dxa"/>
              <w:start w:w="90" w:type="dxa"/>
              <w:end w:w="90" w:type="dxa"/>
            </w:tcMar>
            <w:shd w:val="clear" w:fill="FFFFFF"/>
          </w:tcPr>
          <w:p>
            <w:r>
              <w:rPr>
                <w:b w:val="0"/>
                <w:sz w:val="17"/>
              </w:rPr>
              <w:t>FIPS 203/204/205 with hot-swap. `[NFR-PQ-4]`</w:t>
            </w:r>
          </w:p>
        </w:tc>
      </w:tr>
      <w:tr>
        <w:tc>
          <w:tcPr>
            <w:tcW w:type="dxa" w:w="3264"/>
            <w:tcMar>
              <w:top w:w="60" w:type="dxa"/>
              <w:bottom w:w="60" w:type="dxa"/>
              <w:start w:w="90" w:type="dxa"/>
              <w:end w:w="90" w:type="dxa"/>
            </w:tcMar>
            <w:shd w:val="clear" w:fill="EEF3F8"/>
          </w:tcPr>
          <w:p>
            <w:r>
              <w:rPr>
                <w:b w:val="0"/>
                <w:sz w:val="17"/>
              </w:rPr>
              <w:t>Packaging</w:t>
            </w:r>
          </w:p>
        </w:tc>
        <w:tc>
          <w:tcPr>
            <w:tcW w:type="dxa" w:w="3264"/>
            <w:tcMar>
              <w:top w:w="60" w:type="dxa"/>
              <w:bottom w:w="60" w:type="dxa"/>
              <w:start w:w="90" w:type="dxa"/>
              <w:end w:w="90" w:type="dxa"/>
            </w:tcMar>
            <w:shd w:val="clear" w:fill="EEF3F8"/>
          </w:tcPr>
          <w:p>
            <w:r>
              <w:rPr>
                <w:b w:val="0"/>
                <w:sz w:val="17"/>
              </w:rPr>
              <w:t>OCI images, reproducible builds, CycloneDX SBOM</w:t>
            </w:r>
          </w:p>
        </w:tc>
        <w:tc>
          <w:tcPr>
            <w:tcW w:type="dxa" w:w="3264"/>
            <w:tcMar>
              <w:top w:w="60" w:type="dxa"/>
              <w:bottom w:w="60" w:type="dxa"/>
              <w:start w:w="90" w:type="dxa"/>
              <w:end w:w="90" w:type="dxa"/>
            </w:tcMar>
            <w:shd w:val="clear" w:fill="EEF3F8"/>
          </w:tcPr>
          <w:p>
            <w:r>
              <w:rPr>
                <w:b w:val="0"/>
                <w:sz w:val="17"/>
              </w:rPr>
              <w:t>Open-source assurance. `[NFR-OSS-1]`</w:t>
            </w:r>
          </w:p>
        </w:tc>
      </w:tr>
    </w:tbl>
    <w:p/>
    <w:p>
      <w:pPr>
        <w:pStyle w:val="Heading2"/>
      </w:pPr>
      <w:r>
        <w:t>5.2 Architectural patterns</w:t>
      </w:r>
    </w:p>
    <w:p>
      <w:pPr>
        <w:pStyle w:val="ListBullet"/>
      </w:pPr>
      <w:r>
        <w:rPr>
          <w:sz w:val="21"/>
        </w:rPr>
      </w:r>
      <w:r>
        <w:rPr>
          <w:b/>
          <w:sz w:val="21"/>
        </w:rPr>
        <w:t>Enclosure / trust-boundary</w:t>
      </w:r>
      <w:r>
        <w:rPr>
          <w:sz w:val="21"/>
        </w:rPr>
        <w:t xml:space="preserve"> pattern: everything runs inside one defended boundary with a controlled ingress/egress surface. </w:t>
      </w:r>
      <w:r>
        <w:rPr>
          <w:rFonts w:ascii="Consolas" w:hAnsi="Consolas"/>
          <w:color w:val="0B4884"/>
          <w:sz w:val="18"/>
        </w:rPr>
        <w:t>[DD-7]</w:t>
      </w:r>
      <w:r>
        <w:rPr>
          <w:sz w:val="21"/>
        </w:rPr>
      </w:r>
    </w:p>
    <w:p>
      <w:pPr>
        <w:pStyle w:val="ListBullet"/>
      </w:pPr>
      <w:r>
        <w:rPr>
          <w:sz w:val="21"/>
        </w:rPr>
      </w:r>
      <w:r>
        <w:rPr>
          <w:b/>
          <w:sz w:val="21"/>
        </w:rPr>
        <w:t>Semantic + kinetic layering:</w:t>
      </w:r>
      <w:r>
        <w:rPr>
          <w:sz w:val="21"/>
        </w:rPr>
        <w:t xml:space="preserve"> data (nouns) is paired with actions/functions (verbs) so decisions, not just data, are modelled. </w:t>
      </w:r>
      <w:r>
        <w:rPr>
          <w:rFonts w:ascii="Consolas" w:hAnsi="Consolas"/>
          <w:color w:val="0B4884"/>
          <w:sz w:val="18"/>
        </w:rPr>
        <w:t>[DD-1]</w:t>
      </w:r>
      <w:r>
        <w:rPr>
          <w:sz w:val="21"/>
        </w:rPr>
      </w:r>
    </w:p>
    <w:p>
      <w:pPr>
        <w:pStyle w:val="ListBullet"/>
      </w:pPr>
      <w:r>
        <w:rPr>
          <w:sz w:val="21"/>
        </w:rPr>
      </w:r>
      <w:r>
        <w:rPr>
          <w:b/>
          <w:sz w:val="21"/>
        </w:rPr>
        <w:t>Sidecar security:</w:t>
      </w:r>
      <w:r>
        <w:rPr>
          <w:sz w:val="21"/>
        </w:rPr>
        <w:t xml:space="preserve"> a PQ-mTLS + policy sidecar mediates every service call (zero-trust data plane). </w:t>
      </w:r>
      <w:r>
        <w:rPr>
          <w:rFonts w:ascii="Consolas" w:hAnsi="Consolas"/>
          <w:color w:val="0B4884"/>
          <w:sz w:val="18"/>
        </w:rPr>
        <w:t>[NFR-SEC-1]</w:t>
      </w:r>
      <w:r>
        <w:rPr>
          <w:sz w:val="21"/>
        </w:rPr>
      </w:r>
    </w:p>
    <w:p>
      <w:pPr>
        <w:pStyle w:val="ListBullet"/>
      </w:pPr>
      <w:r>
        <w:rPr>
          <w:sz w:val="21"/>
        </w:rPr>
      </w:r>
      <w:r>
        <w:rPr>
          <w:b/>
          <w:sz w:val="21"/>
        </w:rPr>
        <w:t>Ports-and-adapters:</w:t>
      </w:r>
      <w:r>
        <w:rPr>
          <w:sz w:val="21"/>
        </w:rPr>
        <w:t xml:space="preserve"> products depend on Midgard contracts, not implementations, enabling standalone operation. </w:t>
      </w:r>
      <w:r>
        <w:rPr>
          <w:rFonts w:ascii="Consolas" w:hAnsi="Consolas"/>
          <w:color w:val="0B4884"/>
          <w:sz w:val="18"/>
        </w:rPr>
        <w:t>[DD-6]</w:t>
      </w:r>
      <w:r>
        <w:rPr>
          <w:sz w:val="21"/>
        </w:rPr>
      </w:r>
    </w:p>
    <w:p>
      <w:pPr>
        <w:pStyle w:val="Heading2"/>
      </w:pPr>
      <w:r>
        <w:t>5.3 Key design decisions</w:t>
      </w:r>
    </w:p>
    <w:p>
      <w:pPr>
        <w:shd w:val="clear" w:fill="EEF3F8"/>
        <w:pBdr>
          <w:left w:val="single" w:sz="18" w:space="8" w:color="1168BD"/>
        </w:pBdr>
        <w:ind w:left="144"/>
      </w:pPr>
      <w:r>
        <w:rPr>
          <w:sz w:val="21"/>
        </w:rPr>
      </w:r>
      <w:r>
        <w:rPr>
          <w:b/>
          <w:sz w:val="21"/>
        </w:rPr>
        <w:t>KDD-1 — Post-quantum is a platform property, not a product feature.</w:t>
      </w:r>
      <w:r>
        <w:rPr>
          <w:sz w:val="21"/>
        </w:rPr>
        <w:t xml:space="preserve"> The PQ crypto substrate lives in Midgard and is inherited by every product, so no product re-implements cryptography. </w:t>
      </w:r>
      <w:r>
        <w:rPr>
          <w:rFonts w:ascii="Consolas" w:hAnsi="Consolas"/>
          <w:color w:val="0B4884"/>
          <w:sz w:val="18"/>
        </w:rPr>
        <w:t>[DD-3]</w:t>
      </w:r>
      <w:r>
        <w:rPr>
          <w:sz w:val="21"/>
        </w:rPr>
        <w:t xml:space="preserve"> </w:t>
      </w:r>
      <w:r>
        <w:rPr>
          <w:rFonts w:ascii="Consolas" w:hAnsi="Consolas"/>
          <w:color w:val="0B4884"/>
          <w:sz w:val="18"/>
        </w:rPr>
        <w:t>[NFR-PQ-4]</w:t>
      </w:r>
      <w:r>
        <w:rPr>
          <w:sz w:val="21"/>
        </w:rPr>
      </w:r>
    </w:p>
    <w:p>
      <w:pPr>
        <w:shd w:val="clear" w:fill="EEF3F8"/>
        <w:pBdr>
          <w:left w:val="single" w:sz="18" w:space="8" w:color="1168BD"/>
        </w:pBdr>
        <w:ind w:left="144"/>
      </w:pPr>
      <w:r>
        <w:rPr>
          <w:sz w:val="21"/>
        </w:rPr>
      </w:r>
      <w:r>
        <w:rPr>
          <w:b/>
          <w:sz w:val="21"/>
        </w:rPr>
        <w:t>KDD-2 — Mimir is both a product and a service.</w:t>
      </w:r>
      <w:r>
        <w:rPr>
          <w:sz w:val="21"/>
        </w:rPr>
        <w:t xml:space="preserve"> The same local-inference layer that is sold as the AIP competitor is the shared inference dependency for Forge, Bifrost, and Heimdall — one model plane, many consumers. </w:t>
      </w:r>
      <w:r>
        <w:rPr>
          <w:rFonts w:ascii="Consolas" w:hAnsi="Consolas"/>
          <w:color w:val="0B4884"/>
          <w:sz w:val="18"/>
        </w:rPr>
        <w:t>[DD-4]</w:t>
      </w:r>
      <w:r>
        <w:rPr>
          <w:sz w:val="21"/>
        </w:rPr>
        <w:t xml:space="preserve"> </w:t>
      </w:r>
      <w:r>
        <w:rPr>
          <w:rFonts w:ascii="Consolas" w:hAnsi="Consolas"/>
          <w:color w:val="0B4884"/>
          <w:sz w:val="18"/>
        </w:rPr>
        <w:t>[DD-6]</w:t>
      </w:r>
      <w:r>
        <w:rPr>
          <w:sz w:val="21"/>
        </w:rPr>
      </w:r>
    </w:p>
    <w:p>
      <w:pPr>
        <w:shd w:val="clear" w:fill="EEF3F8"/>
        <w:pBdr>
          <w:left w:val="single" w:sz="18" w:space="8" w:color="1168BD"/>
        </w:pBdr>
        <w:ind w:left="144"/>
      </w:pPr>
      <w:r>
        <w:rPr>
          <w:sz w:val="21"/>
        </w:rPr>
      </w:r>
      <w:r>
        <w:rPr>
          <w:b/>
          <w:sz w:val="21"/>
        </w:rPr>
        <w:t>KDD-3 — Composability via contracts.</w:t>
      </w:r>
      <w:r>
        <w:rPr>
          <w:sz w:val="21"/>
        </w:rPr>
        <w:t xml:space="preserve"> Each product declares a hard dependency only on Midgard core contracts; inter-product links are optional capabilities discovered at runtime. </w:t>
      </w:r>
      <w:r>
        <w:rPr>
          <w:rFonts w:ascii="Consolas" w:hAnsi="Consolas"/>
          <w:color w:val="0B4884"/>
          <w:sz w:val="18"/>
        </w:rPr>
        <w:t>[DD-6]</w:t>
      </w:r>
      <w:r>
        <w:rPr>
          <w:sz w:val="21"/>
        </w:rPr>
      </w:r>
    </w:p>
    <w:p>
      <w:pPr>
        <w:pStyle w:val="Heading1"/>
      </w:pPr>
      <w:r>
        <w:t>6. Logical Architecture (C4 Level 2)</w:t>
      </w:r>
    </w:p>
    <w:p>
      <w:pPr>
        <w:pStyle w:val="Heading2"/>
      </w:pPr>
      <w:r>
        <w:t>6.1 Container diagram</w:t>
      </w:r>
    </w:p>
    <w:p>
      <w:pPr>
        <w:jc w:val="center"/>
      </w:pPr>
      <w:r>
        <w:drawing>
          <wp:inline xmlns:a="http://schemas.openxmlformats.org/drawingml/2006/main" xmlns:pic="http://schemas.openxmlformats.org/drawingml/2006/picture">
            <wp:extent cx="6035040" cy="2886658"/>
            <wp:docPr id="2" name="Picture 2"/>
            <wp:cNvGraphicFramePr>
              <a:graphicFrameLocks noChangeAspect="1"/>
            </wp:cNvGraphicFramePr>
            <a:graphic>
              <a:graphicData uri="http://schemas.openxmlformats.org/drawingml/2006/picture">
                <pic:pic>
                  <pic:nvPicPr>
                    <pic:cNvPr id="0" name="midgard_c4_containers.png"/>
                    <pic:cNvPicPr/>
                  </pic:nvPicPr>
                  <pic:blipFill>
                    <a:blip r:embed="rId10"/>
                    <a:stretch>
                      <a:fillRect/>
                    </a:stretch>
                  </pic:blipFill>
                  <pic:spPr>
                    <a:xfrm>
                      <a:off x="0" y="0"/>
                      <a:ext cx="6035040" cy="2886658"/>
                    </a:xfrm>
                    <a:prstGeom prst="rect"/>
                  </pic:spPr>
                </pic:pic>
              </a:graphicData>
            </a:graphic>
          </wp:inline>
        </w:drawing>
      </w:r>
    </w:p>
    <w:p>
      <w:pPr>
        <w:jc w:val="center"/>
      </w:pPr>
      <w:r>
        <w:rPr>
          <w:i/>
          <w:color w:val="595959"/>
          <w:sz w:val="17"/>
        </w:rPr>
        <w:t>Figure 6.1 — C4 Level 2 Containers: the deployable units of Midgard core.</w:t>
      </w:r>
    </w:p>
    <w:p/>
    <w:p>
      <w:pPr>
        <w:pStyle w:val="Heading2"/>
      </w:pPr>
      <w:r>
        <w:t>6.2 Container descriptions</w:t>
      </w:r>
    </w:p>
    <w:p>
      <w:pPr>
        <w:pStyle w:val="Heading3"/>
      </w:pPr>
      <w:r>
        <w:t>6.2.1 Gateway &amp; PQ-mTLS termination</w:t>
      </w:r>
    </w:p>
    <w:p>
      <w:r>
        <w:rPr>
          <w:sz w:val="21"/>
        </w:rPr>
        <w:t xml:space="preserve">Public ingress for human and SDK traffic. Terminates hybrid-PQ TLS, performs identity assertion, and forwards to the control plane over the mesh. Responsibilities: TLS 1.3 hybrid handshake, session management, rate limiting, request signing. </w:t>
      </w:r>
      <w:r>
        <w:rPr>
          <w:rFonts w:ascii="Consolas" w:hAnsi="Consolas"/>
          <w:color w:val="0B4884"/>
          <w:sz w:val="18"/>
        </w:rPr>
        <w:t>[NFR-PQ-1]</w:t>
      </w:r>
      <w:r>
        <w:rPr>
          <w:sz w:val="21"/>
        </w:rPr>
        <w:t xml:space="preserve"> </w:t>
      </w:r>
      <w:r>
        <w:rPr>
          <w:rFonts w:ascii="Consolas" w:hAnsi="Consolas"/>
          <w:color w:val="0B4884"/>
          <w:sz w:val="18"/>
        </w:rPr>
        <w:t>[NFR-SEC-1]</w:t>
      </w:r>
      <w:r>
        <w:rPr>
          <w:sz w:val="21"/>
        </w:rPr>
      </w:r>
    </w:p>
    <w:p>
      <w:pPr>
        <w:pStyle w:val="Heading3"/>
      </w:pPr>
      <w:r>
        <w:t>6.2.2 Identity &amp; Access service</w:t>
      </w:r>
    </w:p>
    <w:p>
      <w:r>
        <w:rPr>
          <w:sz w:val="21"/>
        </w:rPr>
        <w:t xml:space="preserve">Self-contained OIDC provider issuing PQ-signed tokens; manages users, groups, roles, markings, and purpose declarations. Federates to an enterprise IdP when configured, but functions fully offline. </w:t>
      </w:r>
      <w:r>
        <w:rPr>
          <w:rFonts w:ascii="Consolas" w:hAnsi="Consolas"/>
          <w:color w:val="0B4884"/>
          <w:sz w:val="18"/>
        </w:rPr>
        <w:t>[NFR-SEC-2]</w:t>
      </w:r>
      <w:r>
        <w:rPr>
          <w:sz w:val="21"/>
        </w:rPr>
        <w:t xml:space="preserve"> </w:t>
      </w:r>
      <w:r>
        <w:rPr>
          <w:rFonts w:ascii="Consolas" w:hAnsi="Consolas"/>
          <w:color w:val="0B4884"/>
          <w:sz w:val="18"/>
        </w:rPr>
        <w:t>[NFR-PRV-1]</w:t>
      </w:r>
      <w:r>
        <w:rPr>
          <w:sz w:val="21"/>
        </w:rPr>
      </w:r>
    </w:p>
    <w:p>
      <w:pPr>
        <w:pStyle w:val="Heading3"/>
      </w:pPr>
      <w:r>
        <w:t>6.2.3 Object Fabric service (OFS)</w:t>
      </w:r>
    </w:p>
    <w:p>
      <w:r>
        <w:rPr>
          <w:sz w:val="21"/>
        </w:rPr>
        <w:t xml:space="preserve">The semantic + kinetic core: object types, properties, link types (semantics); actions, functions, dynamic security (kinetics). Backed by the object store; exposes typed query, search-around, and action APIs. This is the direct answer to Palantir's Ontology system. </w:t>
      </w:r>
      <w:r>
        <w:rPr>
          <w:rFonts w:ascii="Consolas" w:hAnsi="Consolas"/>
          <w:color w:val="0B4884"/>
          <w:sz w:val="18"/>
        </w:rPr>
        <w:t>[DD-1]</w:t>
      </w:r>
      <w:r>
        <w:rPr>
          <w:sz w:val="21"/>
        </w:rPr>
      </w:r>
    </w:p>
    <w:p>
      <w:pPr>
        <w:pStyle w:val="Heading3"/>
      </w:pPr>
      <w:r>
        <w:t>6.2.4 Object store &amp; indexer</w:t>
      </w:r>
    </w:p>
    <w:p>
      <w:r>
        <w:rPr>
          <w:sz w:val="21"/>
        </w:rPr>
        <w:t xml:space="preserve">Columnar primary store plus inverted index; incremental indexing keeps object queries current as sources update. Writes are orchestrated through a write-funnel that reconciles source data and user/agent edits. </w:t>
      </w:r>
      <w:r>
        <w:rPr>
          <w:rFonts w:ascii="Consolas" w:hAnsi="Consolas"/>
          <w:color w:val="0B4884"/>
          <w:sz w:val="18"/>
        </w:rPr>
        <w:t>[DD-1]</w:t>
      </w:r>
      <w:r>
        <w:rPr>
          <w:sz w:val="21"/>
        </w:rPr>
      </w:r>
    </w:p>
    <w:p>
      <w:pPr>
        <w:pStyle w:val="Heading3"/>
      </w:pPr>
      <w:r>
        <w:t>6.2.5 Governance &amp; audit service</w:t>
      </w:r>
    </w:p>
    <w:p>
      <w:r>
        <w:rPr>
          <w:sz w:val="21"/>
        </w:rPr>
        <w:t xml:space="preserve">Enforces role/marking/purpose policy at query time and records immutable, PQ-signed audit lineage of every read, write, and action by humans and agents. </w:t>
      </w:r>
      <w:r>
        <w:rPr>
          <w:rFonts w:ascii="Consolas" w:hAnsi="Consolas"/>
          <w:color w:val="0B4884"/>
          <w:sz w:val="18"/>
        </w:rPr>
        <w:t>[NFR-SEC-2]</w:t>
      </w:r>
      <w:r>
        <w:rPr>
          <w:sz w:val="21"/>
        </w:rPr>
        <w:t xml:space="preserve"> </w:t>
      </w:r>
      <w:r>
        <w:rPr>
          <w:rFonts w:ascii="Consolas" w:hAnsi="Consolas"/>
          <w:color w:val="0B4884"/>
          <w:sz w:val="18"/>
        </w:rPr>
        <w:t>[NFR-AI-1]</w:t>
      </w:r>
      <w:r>
        <w:rPr>
          <w:sz w:val="21"/>
        </w:rPr>
      </w:r>
    </w:p>
    <w:p>
      <w:pPr>
        <w:pStyle w:val="Heading3"/>
      </w:pPr>
      <w:r>
        <w:t>6.2.6 Crypto &amp; key-management service (KMS)</w:t>
      </w:r>
    </w:p>
    <w:p>
      <w:r>
        <w:rPr>
          <w:sz w:val="21"/>
        </w:rPr>
        <w:t xml:space="preserve">Central custody of PQ key material; performs envelope encryption, key wrapping under ML-KEM-1024, rotation, and the agility shim that negotiates and versions algorithms. Seals roots to HSM/TPM where present. </w:t>
      </w:r>
      <w:r>
        <w:rPr>
          <w:rFonts w:ascii="Consolas" w:hAnsi="Consolas"/>
          <w:color w:val="0B4884"/>
          <w:sz w:val="18"/>
        </w:rPr>
        <w:t>[NFR-PQ-2]</w:t>
      </w:r>
      <w:r>
        <w:rPr>
          <w:sz w:val="21"/>
        </w:rPr>
        <w:t xml:space="preserve"> </w:t>
      </w:r>
      <w:r>
        <w:rPr>
          <w:rFonts w:ascii="Consolas" w:hAnsi="Consolas"/>
          <w:color w:val="0B4884"/>
          <w:sz w:val="18"/>
        </w:rPr>
        <w:t>[NFR-PQ-4]</w:t>
      </w:r>
      <w:r>
        <w:rPr>
          <w:sz w:val="21"/>
        </w:rPr>
      </w:r>
    </w:p>
    <w:p>
      <w:pPr>
        <w:pStyle w:val="Heading3"/>
      </w:pPr>
      <w:r>
        <w:t>6.2.7 Compute scheduler</w:t>
      </w:r>
    </w:p>
    <w:p>
      <w:r>
        <w:rPr>
          <w:sz w:val="21"/>
        </w:rPr>
        <w:t xml:space="preserve">Schedules batch and streaming jobs (pipelines, indexing, model inference requests) across the autoscaling mesh; enforces resource quotas and priority. </w:t>
      </w:r>
      <w:r>
        <w:rPr>
          <w:rFonts w:ascii="Consolas" w:hAnsi="Consolas"/>
          <w:color w:val="0B4884"/>
          <w:sz w:val="18"/>
        </w:rPr>
        <w:t>[NFR-AVA-1]</w:t>
      </w:r>
      <w:r>
        <w:rPr>
          <w:sz w:val="21"/>
        </w:rPr>
      </w:r>
    </w:p>
    <w:p>
      <w:pPr>
        <w:pStyle w:val="Heading3"/>
      </w:pPr>
      <w:r>
        <w:t>6.2.8 SDK / API surface</w:t>
      </w:r>
    </w:p>
    <w:p>
      <w:r>
        <w:rPr>
          <w:sz w:val="21"/>
        </w:rPr>
        <w:t xml:space="preserve">Generated, typed SDKs (TypeScript, Python) plus a CLI and an MCP endpoint, giving developers and agents governed access to objects, actions, and functions. </w:t>
      </w:r>
      <w:r>
        <w:rPr>
          <w:rFonts w:ascii="Consolas" w:hAnsi="Consolas"/>
          <w:color w:val="0B4884"/>
          <w:sz w:val="18"/>
        </w:rPr>
        <w:t>[DD-6]</w:t>
      </w:r>
      <w:r>
        <w:rPr>
          <w:sz w:val="21"/>
        </w:rPr>
      </w:r>
    </w:p>
    <w:p>
      <w:pPr>
        <w:pStyle w:val="Heading1"/>
      </w:pPr>
      <w:r>
        <w:t>7. Component Architecture (C4 Level 3)</w:t>
      </w:r>
    </w:p>
    <w:p>
      <w:r>
        <w:rPr>
          <w:sz w:val="21"/>
        </w:rPr>
        <w:t>The Object Fabric service is the most architecturally significant container; its internal components are shown below. (Per-product component diagrams appear in each product SAD.)</w:t>
      </w:r>
    </w:p>
    <w:p>
      <w:pPr>
        <w:jc w:val="center"/>
      </w:pPr>
      <w:r>
        <w:drawing>
          <wp:inline xmlns:a="http://schemas.openxmlformats.org/drawingml/2006/main" xmlns:pic="http://schemas.openxmlformats.org/drawingml/2006/picture">
            <wp:extent cx="6035040" cy="3964344"/>
            <wp:docPr id="3" name="Picture 3"/>
            <wp:cNvGraphicFramePr>
              <a:graphicFrameLocks noChangeAspect="1"/>
            </wp:cNvGraphicFramePr>
            <a:graphic>
              <a:graphicData uri="http://schemas.openxmlformats.org/drawingml/2006/picture">
                <pic:pic>
                  <pic:nvPicPr>
                    <pic:cNvPr id="0" name="midgard_er.png"/>
                    <pic:cNvPicPr/>
                  </pic:nvPicPr>
                  <pic:blipFill>
                    <a:blip r:embed="rId11"/>
                    <a:stretch>
                      <a:fillRect/>
                    </a:stretch>
                  </pic:blipFill>
                  <pic:spPr>
                    <a:xfrm>
                      <a:off x="0" y="0"/>
                      <a:ext cx="6035040" cy="3964344"/>
                    </a:xfrm>
                    <a:prstGeom prst="rect"/>
                  </pic:spPr>
                </pic:pic>
              </a:graphicData>
            </a:graphic>
          </wp:inline>
        </w:drawing>
      </w:r>
    </w:p>
    <w:p>
      <w:pPr>
        <w:jc w:val="center"/>
      </w:pPr>
      <w:r>
        <w:rPr>
          <w:i/>
          <w:color w:val="595959"/>
          <w:sz w:val="17"/>
        </w:rPr>
        <w:t>Figure 7.1 — Object Fabric logical entities and their relationships (see also §8).</w:t>
      </w:r>
    </w:p>
    <w:p/>
    <w:p>
      <w:pPr>
        <w:pStyle w:val="Heading2"/>
      </w:pPr>
      <w:r>
        <w:t>7.1 Object Fabric components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Component</w:t>
            </w:r>
          </w:p>
        </w:tc>
        <w:tc>
          <w:tcPr>
            <w:tcW w:type="dxa" w:w="3264"/>
            <w:shd w:val="clear" w:fill="0B4884"/>
            <w:tcMar>
              <w:top w:w="60" w:type="dxa"/>
              <w:bottom w:w="60" w:type="dxa"/>
              <w:start w:w="90" w:type="dxa"/>
              <w:end w:w="90" w:type="dxa"/>
            </w:tcMar>
          </w:tcPr>
          <w:p>
            <w:r>
              <w:rPr>
                <w:b/>
                <w:color w:val="FFFFFF"/>
                <w:sz w:val="18"/>
              </w:rPr>
              <w:t>Responsibility</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Type registry (OMS)</w:t>
            </w:r>
          </w:p>
        </w:tc>
        <w:tc>
          <w:tcPr>
            <w:tcW w:type="dxa" w:w="3264"/>
            <w:tcMar>
              <w:top w:w="60" w:type="dxa"/>
              <w:bottom w:w="60" w:type="dxa"/>
              <w:start w:w="90" w:type="dxa"/>
              <w:end w:w="90" w:type="dxa"/>
            </w:tcMar>
            <w:shd w:val="clear" w:fill="FFFFFF"/>
          </w:tcPr>
          <w:p>
            <w:r>
              <w:rPr>
                <w:b w:val="0"/>
                <w:sz w:val="17"/>
              </w:rPr>
              <w:t>Defines object types, link types, action types, interfaces, shared properties, value types.</w:t>
            </w:r>
          </w:p>
        </w:tc>
        <w:tc>
          <w:tcPr>
            <w:tcW w:type="dxa" w:w="3264"/>
            <w:tcMar>
              <w:top w:w="60" w:type="dxa"/>
              <w:bottom w:w="60" w:type="dxa"/>
              <w:start w:w="90" w:type="dxa"/>
              <w:end w:w="90" w:type="dxa"/>
            </w:tcMar>
            <w:shd w:val="clear" w:fill="FFFFFF"/>
          </w:tcPr>
          <w:p>
            <w:r>
              <w:rPr>
                <w:b w:val="0"/>
                <w:sz w:val="17"/>
              </w:rPr>
              <w:t>`[DD-1]`</w:t>
            </w:r>
          </w:p>
        </w:tc>
      </w:tr>
      <w:tr>
        <w:tc>
          <w:tcPr>
            <w:tcW w:type="dxa" w:w="3264"/>
            <w:tcMar>
              <w:top w:w="60" w:type="dxa"/>
              <w:bottom w:w="60" w:type="dxa"/>
              <w:start w:w="90" w:type="dxa"/>
              <w:end w:w="90" w:type="dxa"/>
            </w:tcMar>
            <w:shd w:val="clear" w:fill="EEF3F8"/>
          </w:tcPr>
          <w:p>
            <w:r>
              <w:rPr>
                <w:b w:val="0"/>
                <w:sz w:val="17"/>
              </w:rPr>
              <w:t>Query engine</w:t>
            </w:r>
          </w:p>
        </w:tc>
        <w:tc>
          <w:tcPr>
            <w:tcW w:type="dxa" w:w="3264"/>
            <w:tcMar>
              <w:top w:w="60" w:type="dxa"/>
              <w:bottom w:w="60" w:type="dxa"/>
              <w:start w:w="90" w:type="dxa"/>
              <w:end w:w="90" w:type="dxa"/>
            </w:tcMar>
            <w:shd w:val="clear" w:fill="EEF3F8"/>
          </w:tcPr>
          <w:p>
            <w:r>
              <w:rPr>
                <w:b w:val="0"/>
                <w:sz w:val="17"/>
              </w:rPr>
              <w:t>Typed object/link queries, search-around, aggregations under policy.</w:t>
            </w:r>
          </w:p>
        </w:tc>
        <w:tc>
          <w:tcPr>
            <w:tcW w:type="dxa" w:w="3264"/>
            <w:tcMar>
              <w:top w:w="60" w:type="dxa"/>
              <w:bottom w:w="60" w:type="dxa"/>
              <w:start w:w="90" w:type="dxa"/>
              <w:end w:w="90" w:type="dxa"/>
            </w:tcMar>
            <w:shd w:val="clear" w:fill="EEF3F8"/>
          </w:tcPr>
          <w:p>
            <w:r>
              <w:rPr>
                <w:b w:val="0"/>
                <w:sz w:val="17"/>
              </w:rPr>
              <w:t>`[DD-1]` `[NFR-SEC-2]`</w:t>
            </w:r>
          </w:p>
        </w:tc>
      </w:tr>
      <w:tr>
        <w:tc>
          <w:tcPr>
            <w:tcW w:type="dxa" w:w="3264"/>
            <w:tcMar>
              <w:top w:w="60" w:type="dxa"/>
              <w:bottom w:w="60" w:type="dxa"/>
              <w:start w:w="90" w:type="dxa"/>
              <w:end w:w="90" w:type="dxa"/>
            </w:tcMar>
            <w:shd w:val="clear" w:fill="FFFFFF"/>
          </w:tcPr>
          <w:p>
            <w:r>
              <w:rPr>
                <w:b w:val="0"/>
                <w:sz w:val="17"/>
              </w:rPr>
              <w:t>Action executor</w:t>
            </w:r>
          </w:p>
        </w:tc>
        <w:tc>
          <w:tcPr>
            <w:tcW w:type="dxa" w:w="3264"/>
            <w:tcMar>
              <w:top w:w="60" w:type="dxa"/>
              <w:bottom w:w="60" w:type="dxa"/>
              <w:start w:w="90" w:type="dxa"/>
              <w:end w:w="90" w:type="dxa"/>
            </w:tcMar>
            <w:shd w:val="clear" w:fill="FFFFFF"/>
          </w:tcPr>
          <w:p>
            <w:r>
              <w:rPr>
                <w:b w:val="0"/>
                <w:sz w:val="17"/>
              </w:rPr>
              <w:t>Applies validated, function-backed edits with side-effects; writes audit lineage.</w:t>
            </w:r>
          </w:p>
        </w:tc>
        <w:tc>
          <w:tcPr>
            <w:tcW w:type="dxa" w:w="3264"/>
            <w:tcMar>
              <w:top w:w="60" w:type="dxa"/>
              <w:bottom w:w="60" w:type="dxa"/>
              <w:start w:w="90" w:type="dxa"/>
              <w:end w:w="90" w:type="dxa"/>
            </w:tcMar>
            <w:shd w:val="clear" w:fill="FFFFFF"/>
          </w:tcPr>
          <w:p>
            <w:r>
              <w:rPr>
                <w:b w:val="0"/>
                <w:sz w:val="17"/>
              </w:rPr>
              <w:t>`[NFR-SEC-2]` `[NFR-AI-1]`</w:t>
            </w:r>
          </w:p>
        </w:tc>
      </w:tr>
      <w:tr>
        <w:tc>
          <w:tcPr>
            <w:tcW w:type="dxa" w:w="3264"/>
            <w:tcMar>
              <w:top w:w="60" w:type="dxa"/>
              <w:bottom w:w="60" w:type="dxa"/>
              <w:start w:w="90" w:type="dxa"/>
              <w:end w:w="90" w:type="dxa"/>
            </w:tcMar>
            <w:shd w:val="clear" w:fill="EEF3F8"/>
          </w:tcPr>
          <w:p>
            <w:r>
              <w:rPr>
                <w:b w:val="0"/>
                <w:sz w:val="17"/>
              </w:rPr>
              <w:t>Function runtime</w:t>
            </w:r>
          </w:p>
        </w:tc>
        <w:tc>
          <w:tcPr>
            <w:tcW w:type="dxa" w:w="3264"/>
            <w:tcMar>
              <w:top w:w="60" w:type="dxa"/>
              <w:bottom w:w="60" w:type="dxa"/>
              <w:start w:w="90" w:type="dxa"/>
              <w:end w:w="90" w:type="dxa"/>
            </w:tcMar>
            <w:shd w:val="clear" w:fill="EEF3F8"/>
          </w:tcPr>
          <w:p>
            <w:r>
              <w:rPr>
                <w:b w:val="0"/>
                <w:sz w:val="17"/>
              </w:rPr>
              <w:t>Executes business logic (rules, ML calls, LLM calls to Mimir) as typed functions.</w:t>
            </w:r>
          </w:p>
        </w:tc>
        <w:tc>
          <w:tcPr>
            <w:tcW w:type="dxa" w:w="3264"/>
            <w:tcMar>
              <w:top w:w="60" w:type="dxa"/>
              <w:bottom w:w="60" w:type="dxa"/>
              <w:start w:w="90" w:type="dxa"/>
              <w:end w:w="90" w:type="dxa"/>
            </w:tcMar>
            <w:shd w:val="clear" w:fill="EEF3F8"/>
          </w:tcPr>
          <w:p>
            <w:r>
              <w:rPr>
                <w:b w:val="0"/>
                <w:sz w:val="17"/>
              </w:rPr>
              <w:t>`[DD-4]`</w:t>
            </w:r>
          </w:p>
        </w:tc>
      </w:tr>
      <w:tr>
        <w:tc>
          <w:tcPr>
            <w:tcW w:type="dxa" w:w="3264"/>
            <w:tcMar>
              <w:top w:w="60" w:type="dxa"/>
              <w:bottom w:w="60" w:type="dxa"/>
              <w:start w:w="90" w:type="dxa"/>
              <w:end w:w="90" w:type="dxa"/>
            </w:tcMar>
            <w:shd w:val="clear" w:fill="FFFFFF"/>
          </w:tcPr>
          <w:p>
            <w:r>
              <w:rPr>
                <w:b w:val="0"/>
                <w:sz w:val="17"/>
              </w:rPr>
              <w:t>Write funnel</w:t>
            </w:r>
          </w:p>
        </w:tc>
        <w:tc>
          <w:tcPr>
            <w:tcW w:type="dxa" w:w="3264"/>
            <w:tcMar>
              <w:top w:w="60" w:type="dxa"/>
              <w:bottom w:w="60" w:type="dxa"/>
              <w:start w:w="90" w:type="dxa"/>
              <w:end w:w="90" w:type="dxa"/>
            </w:tcMar>
            <w:shd w:val="clear" w:fill="FFFFFF"/>
          </w:tcPr>
          <w:p>
            <w:r>
              <w:rPr>
                <w:b w:val="0"/>
                <w:sz w:val="17"/>
              </w:rPr>
              <w:t>Reconciles source data + edits into the indexed store; keeps indexes current.</w:t>
            </w:r>
          </w:p>
        </w:tc>
        <w:tc>
          <w:tcPr>
            <w:tcW w:type="dxa" w:w="3264"/>
            <w:tcMar>
              <w:top w:w="60" w:type="dxa"/>
              <w:bottom w:w="60" w:type="dxa"/>
              <w:start w:w="90" w:type="dxa"/>
              <w:end w:w="90" w:type="dxa"/>
            </w:tcMar>
            <w:shd w:val="clear" w:fill="FFFFFF"/>
          </w:tcPr>
          <w:p>
            <w:r>
              <w:rPr>
                <w:b w:val="0"/>
                <w:sz w:val="17"/>
              </w:rPr>
              <w:t>`[DD-1]`</w:t>
            </w:r>
          </w:p>
        </w:tc>
      </w:tr>
      <w:tr>
        <w:tc>
          <w:tcPr>
            <w:tcW w:type="dxa" w:w="3264"/>
            <w:tcMar>
              <w:top w:w="60" w:type="dxa"/>
              <w:bottom w:w="60" w:type="dxa"/>
              <w:start w:w="90" w:type="dxa"/>
              <w:end w:w="90" w:type="dxa"/>
            </w:tcMar>
            <w:shd w:val="clear" w:fill="EEF3F8"/>
          </w:tcPr>
          <w:p>
            <w:r>
              <w:rPr>
                <w:b w:val="0"/>
                <w:sz w:val="17"/>
              </w:rPr>
              <w:t>Policy point</w:t>
            </w:r>
          </w:p>
        </w:tc>
        <w:tc>
          <w:tcPr>
            <w:tcW w:type="dxa" w:w="3264"/>
            <w:tcMar>
              <w:top w:w="60" w:type="dxa"/>
              <w:bottom w:w="60" w:type="dxa"/>
              <w:start w:w="90" w:type="dxa"/>
              <w:end w:w="90" w:type="dxa"/>
            </w:tcMar>
            <w:shd w:val="clear" w:fill="EEF3F8"/>
          </w:tcPr>
          <w:p>
            <w:r>
              <w:rPr>
                <w:b w:val="0"/>
                <w:sz w:val="17"/>
              </w:rPr>
              <w:t>Evaluates role/marking/purpose at query and action time.</w:t>
            </w:r>
          </w:p>
        </w:tc>
        <w:tc>
          <w:tcPr>
            <w:tcW w:type="dxa" w:w="3264"/>
            <w:tcMar>
              <w:top w:w="60" w:type="dxa"/>
              <w:bottom w:w="60" w:type="dxa"/>
              <w:start w:w="90" w:type="dxa"/>
              <w:end w:w="90" w:type="dxa"/>
            </w:tcMar>
            <w:shd w:val="clear" w:fill="EEF3F8"/>
          </w:tcPr>
          <w:p>
            <w:r>
              <w:rPr>
                <w:b w:val="0"/>
                <w:sz w:val="17"/>
              </w:rPr>
              <w:t>`[NFR-SEC-2]`</w:t>
            </w:r>
          </w:p>
        </w:tc>
      </w:tr>
    </w:tbl>
    <w:p/>
    <w:p>
      <w:pPr>
        <w:pStyle w:val="Heading1"/>
      </w:pPr>
      <w:r>
        <w:t>8. Data Architecture</w:t>
      </w:r>
    </w:p>
    <w:p>
      <w:pPr>
        <w:pStyle w:val="Heading2"/>
      </w:pPr>
      <w:r>
        <w:t>8.1 Logical data model</w:t>
      </w:r>
    </w:p>
    <w:p>
      <w:r>
        <w:rPr>
          <w:sz w:val="21"/>
        </w:rPr>
        <w:t>The object fabric models an organisation as typed objects connected by typed links, mutated by typed actions, and constrained by markings and policies. The entity model below is the platform-level schema; products extend it with domain object types.</w:t>
      </w:r>
    </w:p>
    <w:p>
      <w:pPr>
        <w:jc w:val="center"/>
      </w:pPr>
      <w:r>
        <w:drawing>
          <wp:inline xmlns:a="http://schemas.openxmlformats.org/drawingml/2006/main" xmlns:pic="http://schemas.openxmlformats.org/drawingml/2006/picture">
            <wp:extent cx="6035040" cy="3964344"/>
            <wp:docPr id="4" name="Picture 4"/>
            <wp:cNvGraphicFramePr>
              <a:graphicFrameLocks noChangeAspect="1"/>
            </wp:cNvGraphicFramePr>
            <a:graphic>
              <a:graphicData uri="http://schemas.openxmlformats.org/drawingml/2006/picture">
                <pic:pic>
                  <pic:nvPicPr>
                    <pic:cNvPr id="0" name="midgard_er.png"/>
                    <pic:cNvPicPr/>
                  </pic:nvPicPr>
                  <pic:blipFill>
                    <a:blip r:embed="rId11"/>
                    <a:stretch>
                      <a:fillRect/>
                    </a:stretch>
                  </pic:blipFill>
                  <pic:spPr>
                    <a:xfrm>
                      <a:off x="0" y="0"/>
                      <a:ext cx="6035040" cy="3964344"/>
                    </a:xfrm>
                    <a:prstGeom prst="rect"/>
                  </pic:spPr>
                </pic:pic>
              </a:graphicData>
            </a:graphic>
          </wp:inline>
        </w:drawing>
      </w:r>
    </w:p>
    <w:p>
      <w:pPr>
        <w:jc w:val="center"/>
      </w:pPr>
      <w:r>
        <w:rPr>
          <w:i/>
          <w:color w:val="595959"/>
          <w:sz w:val="17"/>
        </w:rPr>
        <w:t>Figure 8.1 — Midgard core logical data model.</w:t>
      </w:r>
    </w:p>
    <w:p/>
    <w:p>
      <w:pPr>
        <w:pStyle w:val="Heading2"/>
      </w:pPr>
      <w:r>
        <w:t>8.2 Entity catalogue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Entity</w:t>
            </w:r>
          </w:p>
        </w:tc>
        <w:tc>
          <w:tcPr>
            <w:tcW w:type="dxa" w:w="3264"/>
            <w:shd w:val="clear" w:fill="0B4884"/>
            <w:tcMar>
              <w:top w:w="60" w:type="dxa"/>
              <w:bottom w:w="60" w:type="dxa"/>
              <w:start w:w="90" w:type="dxa"/>
              <w:end w:w="90" w:type="dxa"/>
            </w:tcMar>
          </w:tcPr>
          <w:p>
            <w:r>
              <w:rPr>
                <w:b/>
                <w:color w:val="FFFFFF"/>
                <w:sz w:val="18"/>
              </w:rPr>
              <w:t>Purpose</w:t>
            </w:r>
          </w:p>
        </w:tc>
        <w:tc>
          <w:tcPr>
            <w:tcW w:type="dxa" w:w="3264"/>
            <w:shd w:val="clear" w:fill="0B4884"/>
            <w:tcMar>
              <w:top w:w="60" w:type="dxa"/>
              <w:bottom w:w="60" w:type="dxa"/>
              <w:start w:w="90" w:type="dxa"/>
              <w:end w:w="90" w:type="dxa"/>
            </w:tcMar>
          </w:tcPr>
          <w:p>
            <w:r>
              <w:rPr>
                <w:b/>
                <w:color w:val="FFFFFF"/>
                <w:sz w:val="18"/>
              </w:rPr>
              <w:t>Key attributes</w:t>
            </w:r>
          </w:p>
        </w:tc>
      </w:tr>
      <w:tr>
        <w:tc>
          <w:tcPr>
            <w:tcW w:type="dxa" w:w="3264"/>
            <w:tcMar>
              <w:top w:w="60" w:type="dxa"/>
              <w:bottom w:w="60" w:type="dxa"/>
              <w:start w:w="90" w:type="dxa"/>
              <w:end w:w="90" w:type="dxa"/>
            </w:tcMar>
            <w:shd w:val="clear" w:fill="FFFFFF"/>
          </w:tcPr>
          <w:p>
            <w:r>
              <w:rPr>
                <w:b w:val="0"/>
                <w:sz w:val="17"/>
              </w:rPr>
              <w:t>ObjectType</w:t>
            </w:r>
          </w:p>
        </w:tc>
        <w:tc>
          <w:tcPr>
            <w:tcW w:type="dxa" w:w="3264"/>
            <w:tcMar>
              <w:top w:w="60" w:type="dxa"/>
              <w:bottom w:w="60" w:type="dxa"/>
              <w:start w:w="90" w:type="dxa"/>
              <w:end w:w="90" w:type="dxa"/>
            </w:tcMar>
            <w:shd w:val="clear" w:fill="FFFFFF"/>
          </w:tcPr>
          <w:p>
            <w:r>
              <w:rPr>
                <w:b w:val="0"/>
                <w:sz w:val="17"/>
              </w:rPr>
              <w:t>Schema of a real-world entity/event</w:t>
            </w:r>
          </w:p>
        </w:tc>
        <w:tc>
          <w:tcPr>
            <w:tcW w:type="dxa" w:w="3264"/>
            <w:tcMar>
              <w:top w:w="60" w:type="dxa"/>
              <w:bottom w:w="60" w:type="dxa"/>
              <w:start w:w="90" w:type="dxa"/>
              <w:end w:w="90" w:type="dxa"/>
            </w:tcMar>
            <w:shd w:val="clear" w:fill="FFFFFF"/>
          </w:tcPr>
          <w:p>
            <w:r>
              <w:rPr>
                <w:b w:val="0"/>
                <w:sz w:val="17"/>
              </w:rPr>
              <w:t>id, api_name, title, properties[], interfaces[]</w:t>
            </w:r>
          </w:p>
        </w:tc>
      </w:tr>
      <w:tr>
        <w:tc>
          <w:tcPr>
            <w:tcW w:type="dxa" w:w="3264"/>
            <w:tcMar>
              <w:top w:w="60" w:type="dxa"/>
              <w:bottom w:w="60" w:type="dxa"/>
              <w:start w:w="90" w:type="dxa"/>
              <w:end w:w="90" w:type="dxa"/>
            </w:tcMar>
            <w:shd w:val="clear" w:fill="EEF3F8"/>
          </w:tcPr>
          <w:p>
            <w:r>
              <w:rPr>
                <w:b w:val="0"/>
                <w:sz w:val="17"/>
              </w:rPr>
              <w:t>ObjectInstance</w:t>
            </w:r>
          </w:p>
        </w:tc>
        <w:tc>
          <w:tcPr>
            <w:tcW w:type="dxa" w:w="3264"/>
            <w:tcMar>
              <w:top w:w="60" w:type="dxa"/>
              <w:bottom w:w="60" w:type="dxa"/>
              <w:start w:w="90" w:type="dxa"/>
              <w:end w:w="90" w:type="dxa"/>
            </w:tcMar>
            <w:shd w:val="clear" w:fill="EEF3F8"/>
          </w:tcPr>
          <w:p>
            <w:r>
              <w:rPr>
                <w:b w:val="0"/>
                <w:sz w:val="17"/>
              </w:rPr>
              <w:t>One instance of an ObjectType</w:t>
            </w:r>
          </w:p>
        </w:tc>
        <w:tc>
          <w:tcPr>
            <w:tcW w:type="dxa" w:w="3264"/>
            <w:tcMar>
              <w:top w:w="60" w:type="dxa"/>
              <w:bottom w:w="60" w:type="dxa"/>
              <w:start w:w="90" w:type="dxa"/>
              <w:end w:w="90" w:type="dxa"/>
            </w:tcMar>
            <w:shd w:val="clear" w:fill="EEF3F8"/>
          </w:tcPr>
          <w:p>
            <w:r>
              <w:rPr>
                <w:b w:val="0"/>
                <w:sz w:val="17"/>
              </w:rPr>
              <w:t>id (PK), type_id (FK), property_values, markings[]</w:t>
            </w:r>
          </w:p>
        </w:tc>
      </w:tr>
      <w:tr>
        <w:tc>
          <w:tcPr>
            <w:tcW w:type="dxa" w:w="3264"/>
            <w:tcMar>
              <w:top w:w="60" w:type="dxa"/>
              <w:bottom w:w="60" w:type="dxa"/>
              <w:start w:w="90" w:type="dxa"/>
              <w:end w:w="90" w:type="dxa"/>
            </w:tcMar>
            <w:shd w:val="clear" w:fill="FFFFFF"/>
          </w:tcPr>
          <w:p>
            <w:r>
              <w:rPr>
                <w:b w:val="0"/>
                <w:sz w:val="17"/>
              </w:rPr>
              <w:t>LinkType</w:t>
            </w:r>
          </w:p>
        </w:tc>
        <w:tc>
          <w:tcPr>
            <w:tcW w:type="dxa" w:w="3264"/>
            <w:tcMar>
              <w:top w:w="60" w:type="dxa"/>
              <w:bottom w:w="60" w:type="dxa"/>
              <w:start w:w="90" w:type="dxa"/>
              <w:end w:w="90" w:type="dxa"/>
            </w:tcMar>
            <w:shd w:val="clear" w:fill="FFFFFF"/>
          </w:tcPr>
          <w:p>
            <w:r>
              <w:rPr>
                <w:b w:val="0"/>
                <w:sz w:val="17"/>
              </w:rPr>
              <w:t>Schema of a relationship</w:t>
            </w:r>
          </w:p>
        </w:tc>
        <w:tc>
          <w:tcPr>
            <w:tcW w:type="dxa" w:w="3264"/>
            <w:tcMar>
              <w:top w:w="60" w:type="dxa"/>
              <w:bottom w:w="60" w:type="dxa"/>
              <w:start w:w="90" w:type="dxa"/>
              <w:end w:w="90" w:type="dxa"/>
            </w:tcMar>
            <w:shd w:val="clear" w:fill="FFFFFF"/>
          </w:tcPr>
          <w:p>
            <w:r>
              <w:rPr>
                <w:b w:val="0"/>
                <w:sz w:val="17"/>
              </w:rPr>
              <w:t>id, source_type, target_type, cardinality</w:t>
            </w:r>
          </w:p>
        </w:tc>
      </w:tr>
      <w:tr>
        <w:tc>
          <w:tcPr>
            <w:tcW w:type="dxa" w:w="3264"/>
            <w:tcMar>
              <w:top w:w="60" w:type="dxa"/>
              <w:bottom w:w="60" w:type="dxa"/>
              <w:start w:w="90" w:type="dxa"/>
              <w:end w:w="90" w:type="dxa"/>
            </w:tcMar>
            <w:shd w:val="clear" w:fill="EEF3F8"/>
          </w:tcPr>
          <w:p>
            <w:r>
              <w:rPr>
                <w:b w:val="0"/>
                <w:sz w:val="17"/>
              </w:rPr>
              <w:t>ActionType</w:t>
            </w:r>
          </w:p>
        </w:tc>
        <w:tc>
          <w:tcPr>
            <w:tcW w:type="dxa" w:w="3264"/>
            <w:tcMar>
              <w:top w:w="60" w:type="dxa"/>
              <w:bottom w:w="60" w:type="dxa"/>
              <w:start w:w="90" w:type="dxa"/>
              <w:end w:w="90" w:type="dxa"/>
            </w:tcMar>
            <w:shd w:val="clear" w:fill="EEF3F8"/>
          </w:tcPr>
          <w:p>
            <w:r>
              <w:rPr>
                <w:b w:val="0"/>
                <w:sz w:val="17"/>
              </w:rPr>
              <w:t>Schema of a permitted mutation</w:t>
            </w:r>
          </w:p>
        </w:tc>
        <w:tc>
          <w:tcPr>
            <w:tcW w:type="dxa" w:w="3264"/>
            <w:tcMar>
              <w:top w:w="60" w:type="dxa"/>
              <w:bottom w:w="60" w:type="dxa"/>
              <w:start w:w="90" w:type="dxa"/>
              <w:end w:w="90" w:type="dxa"/>
            </w:tcMar>
            <w:shd w:val="clear" w:fill="EEF3F8"/>
          </w:tcPr>
          <w:p>
            <w:r>
              <w:rPr>
                <w:b w:val="0"/>
                <w:sz w:val="17"/>
              </w:rPr>
              <w:t>id, parameters[], rules[], side_effects[], function_id</w:t>
            </w:r>
          </w:p>
        </w:tc>
      </w:tr>
      <w:tr>
        <w:tc>
          <w:tcPr>
            <w:tcW w:type="dxa" w:w="3264"/>
            <w:tcMar>
              <w:top w:w="60" w:type="dxa"/>
              <w:bottom w:w="60" w:type="dxa"/>
              <w:start w:w="90" w:type="dxa"/>
              <w:end w:w="90" w:type="dxa"/>
            </w:tcMar>
            <w:shd w:val="clear" w:fill="FFFFFF"/>
          </w:tcPr>
          <w:p>
            <w:r>
              <w:rPr>
                <w:b w:val="0"/>
                <w:sz w:val="17"/>
              </w:rPr>
              <w:t>Function</w:t>
            </w:r>
          </w:p>
        </w:tc>
        <w:tc>
          <w:tcPr>
            <w:tcW w:type="dxa" w:w="3264"/>
            <w:tcMar>
              <w:top w:w="60" w:type="dxa"/>
              <w:bottom w:w="60" w:type="dxa"/>
              <w:start w:w="90" w:type="dxa"/>
              <w:end w:w="90" w:type="dxa"/>
            </w:tcMar>
            <w:shd w:val="clear" w:fill="FFFFFF"/>
          </w:tcPr>
          <w:p>
            <w:r>
              <w:rPr>
                <w:b w:val="0"/>
                <w:sz w:val="17"/>
              </w:rPr>
              <w:t>Business logic unit</w:t>
            </w:r>
          </w:p>
        </w:tc>
        <w:tc>
          <w:tcPr>
            <w:tcW w:type="dxa" w:w="3264"/>
            <w:tcMar>
              <w:top w:w="60" w:type="dxa"/>
              <w:bottom w:w="60" w:type="dxa"/>
              <w:start w:w="90" w:type="dxa"/>
              <w:end w:w="90" w:type="dxa"/>
            </w:tcMar>
            <w:shd w:val="clear" w:fill="FFFFFF"/>
          </w:tcPr>
          <w:p>
            <w:r>
              <w:rPr>
                <w:b w:val="0"/>
                <w:sz w:val="17"/>
              </w:rPr>
              <w:t>id, signature, runtime, code_ref, model_binding</w:t>
            </w:r>
          </w:p>
        </w:tc>
      </w:tr>
      <w:tr>
        <w:tc>
          <w:tcPr>
            <w:tcW w:type="dxa" w:w="3264"/>
            <w:tcMar>
              <w:top w:w="60" w:type="dxa"/>
              <w:bottom w:w="60" w:type="dxa"/>
              <w:start w:w="90" w:type="dxa"/>
              <w:end w:w="90" w:type="dxa"/>
            </w:tcMar>
            <w:shd w:val="clear" w:fill="EEF3F8"/>
          </w:tcPr>
          <w:p>
            <w:r>
              <w:rPr>
                <w:b w:val="0"/>
                <w:sz w:val="17"/>
              </w:rPr>
              <w:t>Marking</w:t>
            </w:r>
          </w:p>
        </w:tc>
        <w:tc>
          <w:tcPr>
            <w:tcW w:type="dxa" w:w="3264"/>
            <w:tcMar>
              <w:top w:w="60" w:type="dxa"/>
              <w:bottom w:w="60" w:type="dxa"/>
              <w:start w:w="90" w:type="dxa"/>
              <w:end w:w="90" w:type="dxa"/>
            </w:tcMar>
            <w:shd w:val="clear" w:fill="EEF3F8"/>
          </w:tcPr>
          <w:p>
            <w:r>
              <w:rPr>
                <w:b w:val="0"/>
                <w:sz w:val="17"/>
              </w:rPr>
              <w:t>Mandatory classification tag</w:t>
            </w:r>
          </w:p>
        </w:tc>
        <w:tc>
          <w:tcPr>
            <w:tcW w:type="dxa" w:w="3264"/>
            <w:tcMar>
              <w:top w:w="60" w:type="dxa"/>
              <w:bottom w:w="60" w:type="dxa"/>
              <w:start w:w="90" w:type="dxa"/>
              <w:end w:w="90" w:type="dxa"/>
            </w:tcMar>
            <w:shd w:val="clear" w:fill="EEF3F8"/>
          </w:tcPr>
          <w:p>
            <w:r>
              <w:rPr>
                <w:b w:val="0"/>
                <w:sz w:val="17"/>
              </w:rPr>
              <w:t>id, name, level, compartments[]</w:t>
            </w:r>
          </w:p>
        </w:tc>
      </w:tr>
      <w:tr>
        <w:tc>
          <w:tcPr>
            <w:tcW w:type="dxa" w:w="3264"/>
            <w:tcMar>
              <w:top w:w="60" w:type="dxa"/>
              <w:bottom w:w="60" w:type="dxa"/>
              <w:start w:w="90" w:type="dxa"/>
              <w:end w:w="90" w:type="dxa"/>
            </w:tcMar>
            <w:shd w:val="clear" w:fill="FFFFFF"/>
          </w:tcPr>
          <w:p>
            <w:r>
              <w:rPr>
                <w:b w:val="0"/>
                <w:sz w:val="17"/>
              </w:rPr>
              <w:t>Policy</w:t>
            </w:r>
          </w:p>
        </w:tc>
        <w:tc>
          <w:tcPr>
            <w:tcW w:type="dxa" w:w="3264"/>
            <w:tcMar>
              <w:top w:w="60" w:type="dxa"/>
              <w:bottom w:w="60" w:type="dxa"/>
              <w:start w:w="90" w:type="dxa"/>
              <w:end w:w="90" w:type="dxa"/>
            </w:tcMar>
            <w:shd w:val="clear" w:fill="FFFFFF"/>
          </w:tcPr>
          <w:p>
            <w:r>
              <w:rPr>
                <w:b w:val="0"/>
                <w:sz w:val="17"/>
              </w:rPr>
              <w:t>Role/marking/purpose rule</w:t>
            </w:r>
          </w:p>
        </w:tc>
        <w:tc>
          <w:tcPr>
            <w:tcW w:type="dxa" w:w="3264"/>
            <w:tcMar>
              <w:top w:w="60" w:type="dxa"/>
              <w:bottom w:w="60" w:type="dxa"/>
              <w:start w:w="90" w:type="dxa"/>
              <w:end w:w="90" w:type="dxa"/>
            </w:tcMar>
            <w:shd w:val="clear" w:fill="FFFFFF"/>
          </w:tcPr>
          <w:p>
            <w:r>
              <w:rPr>
                <w:b w:val="0"/>
                <w:sz w:val="17"/>
              </w:rPr>
              <w:t>id, subject, resource, purpose, effect</w:t>
            </w:r>
          </w:p>
        </w:tc>
      </w:tr>
      <w:tr>
        <w:tc>
          <w:tcPr>
            <w:tcW w:type="dxa" w:w="3264"/>
            <w:tcMar>
              <w:top w:w="60" w:type="dxa"/>
              <w:bottom w:w="60" w:type="dxa"/>
              <w:start w:w="90" w:type="dxa"/>
              <w:end w:w="90" w:type="dxa"/>
            </w:tcMar>
            <w:shd w:val="clear" w:fill="EEF3F8"/>
          </w:tcPr>
          <w:p>
            <w:r>
              <w:rPr>
                <w:b w:val="0"/>
                <w:sz w:val="17"/>
              </w:rPr>
              <w:t>AuditRecord</w:t>
            </w:r>
          </w:p>
        </w:tc>
        <w:tc>
          <w:tcPr>
            <w:tcW w:type="dxa" w:w="3264"/>
            <w:tcMar>
              <w:top w:w="60" w:type="dxa"/>
              <w:bottom w:w="60" w:type="dxa"/>
              <w:start w:w="90" w:type="dxa"/>
              <w:end w:w="90" w:type="dxa"/>
            </w:tcMar>
            <w:shd w:val="clear" w:fill="EEF3F8"/>
          </w:tcPr>
          <w:p>
            <w:r>
              <w:rPr>
                <w:b w:val="0"/>
                <w:sz w:val="17"/>
              </w:rPr>
              <w:t>Immutable lineage entry</w:t>
            </w:r>
          </w:p>
        </w:tc>
        <w:tc>
          <w:tcPr>
            <w:tcW w:type="dxa" w:w="3264"/>
            <w:tcMar>
              <w:top w:w="60" w:type="dxa"/>
              <w:bottom w:w="60" w:type="dxa"/>
              <w:start w:w="90" w:type="dxa"/>
              <w:end w:w="90" w:type="dxa"/>
            </w:tcMar>
            <w:shd w:val="clear" w:fill="EEF3F8"/>
          </w:tcPr>
          <w:p>
            <w:r>
              <w:rPr>
                <w:b w:val="0"/>
                <w:sz w:val="17"/>
              </w:rPr>
              <w:t>id, actor, action, resource, ts, pq_signature</w:t>
            </w:r>
          </w:p>
        </w:tc>
      </w:tr>
    </w:tbl>
    <w:p/>
    <w:p>
      <w:pPr>
        <w:pStyle w:val="Heading2"/>
      </w:pPr>
      <w:r>
        <w:t>8.3 Data stores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2448"/>
        <w:gridCol w:w="2448"/>
        <w:gridCol w:w="2448"/>
        <w:gridCol w:w="2448"/>
      </w:tblGrid>
      <w:tr>
        <w:tc>
          <w:tcPr>
            <w:tcW w:type="dxa" w:w="2448"/>
            <w:shd w:val="clear" w:fill="0B4884"/>
            <w:tcMar>
              <w:top w:w="60" w:type="dxa"/>
              <w:bottom w:w="60" w:type="dxa"/>
              <w:start w:w="90" w:type="dxa"/>
              <w:end w:w="90" w:type="dxa"/>
            </w:tcMar>
          </w:tcPr>
          <w:p>
            <w:r>
              <w:rPr>
                <w:b/>
                <w:color w:val="FFFFFF"/>
                <w:sz w:val="18"/>
              </w:rPr>
              <w:t>Store</w:t>
            </w:r>
          </w:p>
        </w:tc>
        <w:tc>
          <w:tcPr>
            <w:tcW w:type="dxa" w:w="2448"/>
            <w:shd w:val="clear" w:fill="0B4884"/>
            <w:tcMar>
              <w:top w:w="60" w:type="dxa"/>
              <w:bottom w:w="60" w:type="dxa"/>
              <w:start w:w="90" w:type="dxa"/>
              <w:end w:w="90" w:type="dxa"/>
            </w:tcMar>
          </w:tcPr>
          <w:p>
            <w:r>
              <w:rPr>
                <w:b/>
                <w:color w:val="FFFFFF"/>
                <w:sz w:val="18"/>
              </w:rPr>
              <w:t>Type</w:t>
            </w:r>
          </w:p>
        </w:tc>
        <w:tc>
          <w:tcPr>
            <w:tcW w:type="dxa" w:w="2448"/>
            <w:shd w:val="clear" w:fill="0B4884"/>
            <w:tcMar>
              <w:top w:w="60" w:type="dxa"/>
              <w:bottom w:w="60" w:type="dxa"/>
              <w:start w:w="90" w:type="dxa"/>
              <w:end w:w="90" w:type="dxa"/>
            </w:tcMar>
          </w:tcPr>
          <w:p>
            <w:r>
              <w:rPr>
                <w:b/>
                <w:color w:val="FFFFFF"/>
                <w:sz w:val="18"/>
              </w:rPr>
              <w:t>Contents</w:t>
            </w:r>
          </w:p>
        </w:tc>
        <w:tc>
          <w:tcPr>
            <w:tcW w:type="dxa" w:w="2448"/>
            <w:shd w:val="clear" w:fill="0B4884"/>
            <w:tcMar>
              <w:top w:w="60" w:type="dxa"/>
              <w:bottom w:w="60" w:type="dxa"/>
              <w:start w:w="90" w:type="dxa"/>
              <w:end w:w="90" w:type="dxa"/>
            </w:tcMar>
          </w:tcPr>
          <w:p>
            <w:r>
              <w:rPr>
                <w:b/>
                <w:color w:val="FFFFFF"/>
                <w:sz w:val="18"/>
              </w:rPr>
              <w:t>Crypto at rest</w:t>
            </w:r>
          </w:p>
        </w:tc>
      </w:tr>
      <w:tr>
        <w:tc>
          <w:tcPr>
            <w:tcW w:type="dxa" w:w="2448"/>
            <w:tcMar>
              <w:top w:w="60" w:type="dxa"/>
              <w:bottom w:w="60" w:type="dxa"/>
              <w:start w:w="90" w:type="dxa"/>
              <w:end w:w="90" w:type="dxa"/>
            </w:tcMar>
            <w:shd w:val="clear" w:fill="FFFFFF"/>
          </w:tcPr>
          <w:p>
            <w:r>
              <w:rPr>
                <w:b w:val="0"/>
                <w:sz w:val="17"/>
              </w:rPr>
              <w:t>Object store</w:t>
            </w:r>
          </w:p>
        </w:tc>
        <w:tc>
          <w:tcPr>
            <w:tcW w:type="dxa" w:w="2448"/>
            <w:tcMar>
              <w:top w:w="60" w:type="dxa"/>
              <w:bottom w:w="60" w:type="dxa"/>
              <w:start w:w="90" w:type="dxa"/>
              <w:end w:w="90" w:type="dxa"/>
            </w:tcMar>
            <w:shd w:val="clear" w:fill="FFFFFF"/>
          </w:tcPr>
          <w:p>
            <w:r>
              <w:rPr>
                <w:b w:val="0"/>
                <w:sz w:val="17"/>
              </w:rPr>
              <w:t>Columnar + inverted index</w:t>
            </w:r>
          </w:p>
        </w:tc>
        <w:tc>
          <w:tcPr>
            <w:tcW w:type="dxa" w:w="2448"/>
            <w:tcMar>
              <w:top w:w="60" w:type="dxa"/>
              <w:bottom w:w="60" w:type="dxa"/>
              <w:start w:w="90" w:type="dxa"/>
              <w:end w:w="90" w:type="dxa"/>
            </w:tcMar>
            <w:shd w:val="clear" w:fill="FFFFFF"/>
          </w:tcPr>
          <w:p>
            <w:r>
              <w:rPr>
                <w:b w:val="0"/>
                <w:sz w:val="17"/>
              </w:rPr>
              <w:t>Object instances, indexes</w:t>
            </w:r>
          </w:p>
        </w:tc>
        <w:tc>
          <w:tcPr>
            <w:tcW w:type="dxa" w:w="2448"/>
            <w:tcMar>
              <w:top w:w="60" w:type="dxa"/>
              <w:bottom w:w="60" w:type="dxa"/>
              <w:start w:w="90" w:type="dxa"/>
              <w:end w:w="90" w:type="dxa"/>
            </w:tcMar>
            <w:shd w:val="clear" w:fill="FFFFFF"/>
          </w:tcPr>
          <w:p>
            <w:r>
              <w:rPr>
                <w:b w:val="0"/>
                <w:sz w:val="17"/>
              </w:rPr>
              <w:t>AES-256-GCM / ML-KEM-1024-wrapped `[NFR-PQ-2]`</w:t>
            </w:r>
          </w:p>
        </w:tc>
      </w:tr>
      <w:tr>
        <w:tc>
          <w:tcPr>
            <w:tcW w:type="dxa" w:w="2448"/>
            <w:tcMar>
              <w:top w:w="60" w:type="dxa"/>
              <w:bottom w:w="60" w:type="dxa"/>
              <w:start w:w="90" w:type="dxa"/>
              <w:end w:w="90" w:type="dxa"/>
            </w:tcMar>
            <w:shd w:val="clear" w:fill="EEF3F8"/>
          </w:tcPr>
          <w:p>
            <w:r>
              <w:rPr>
                <w:b w:val="0"/>
                <w:sz w:val="17"/>
              </w:rPr>
              <w:t>Metadata store</w:t>
            </w:r>
          </w:p>
        </w:tc>
        <w:tc>
          <w:tcPr>
            <w:tcW w:type="dxa" w:w="2448"/>
            <w:tcMar>
              <w:top w:w="60" w:type="dxa"/>
              <w:bottom w:w="60" w:type="dxa"/>
              <w:start w:w="90" w:type="dxa"/>
              <w:end w:w="90" w:type="dxa"/>
            </w:tcMar>
            <w:shd w:val="clear" w:fill="EEF3F8"/>
          </w:tcPr>
          <w:p>
            <w:r>
              <w:rPr>
                <w:b w:val="0"/>
                <w:sz w:val="17"/>
              </w:rPr>
              <w:t>Relational</w:t>
            </w:r>
          </w:p>
        </w:tc>
        <w:tc>
          <w:tcPr>
            <w:tcW w:type="dxa" w:w="2448"/>
            <w:tcMar>
              <w:top w:w="60" w:type="dxa"/>
              <w:bottom w:w="60" w:type="dxa"/>
              <w:start w:w="90" w:type="dxa"/>
              <w:end w:w="90" w:type="dxa"/>
            </w:tcMar>
            <w:shd w:val="clear" w:fill="EEF3F8"/>
          </w:tcPr>
          <w:p>
            <w:r>
              <w:rPr>
                <w:b w:val="0"/>
                <w:sz w:val="17"/>
              </w:rPr>
              <w:t>Types, links, actions, policies</w:t>
            </w:r>
          </w:p>
        </w:tc>
        <w:tc>
          <w:tcPr>
            <w:tcW w:type="dxa" w:w="2448"/>
            <w:tcMar>
              <w:top w:w="60" w:type="dxa"/>
              <w:bottom w:w="60" w:type="dxa"/>
              <w:start w:w="90" w:type="dxa"/>
              <w:end w:w="90" w:type="dxa"/>
            </w:tcMar>
            <w:shd w:val="clear" w:fill="EEF3F8"/>
          </w:tcPr>
          <w:p>
            <w:r>
              <w:rPr>
                <w:b w:val="0"/>
                <w:sz w:val="17"/>
              </w:rPr>
              <w:t>AES-256-GCM / ML-KEM-1024-wrapped</w:t>
            </w:r>
          </w:p>
        </w:tc>
      </w:tr>
      <w:tr>
        <w:tc>
          <w:tcPr>
            <w:tcW w:type="dxa" w:w="2448"/>
            <w:tcMar>
              <w:top w:w="60" w:type="dxa"/>
              <w:bottom w:w="60" w:type="dxa"/>
              <w:start w:w="90" w:type="dxa"/>
              <w:end w:w="90" w:type="dxa"/>
            </w:tcMar>
            <w:shd w:val="clear" w:fill="FFFFFF"/>
          </w:tcPr>
          <w:p>
            <w:r>
              <w:rPr>
                <w:b w:val="0"/>
                <w:sz w:val="17"/>
              </w:rPr>
              <w:t>Audit store</w:t>
            </w:r>
          </w:p>
        </w:tc>
        <w:tc>
          <w:tcPr>
            <w:tcW w:type="dxa" w:w="2448"/>
            <w:tcMar>
              <w:top w:w="60" w:type="dxa"/>
              <w:bottom w:w="60" w:type="dxa"/>
              <w:start w:w="90" w:type="dxa"/>
              <w:end w:w="90" w:type="dxa"/>
            </w:tcMar>
            <w:shd w:val="clear" w:fill="FFFFFF"/>
          </w:tcPr>
          <w:p>
            <w:r>
              <w:rPr>
                <w:b w:val="0"/>
                <w:sz w:val="17"/>
              </w:rPr>
              <w:t>Append-only ledger</w:t>
            </w:r>
          </w:p>
        </w:tc>
        <w:tc>
          <w:tcPr>
            <w:tcW w:type="dxa" w:w="2448"/>
            <w:tcMar>
              <w:top w:w="60" w:type="dxa"/>
              <w:bottom w:w="60" w:type="dxa"/>
              <w:start w:w="90" w:type="dxa"/>
              <w:end w:w="90" w:type="dxa"/>
            </w:tcMar>
            <w:shd w:val="clear" w:fill="FFFFFF"/>
          </w:tcPr>
          <w:p>
            <w:r>
              <w:rPr>
                <w:b w:val="0"/>
                <w:sz w:val="17"/>
              </w:rPr>
              <w:t>PQ-signed audit lineage</w:t>
            </w:r>
          </w:p>
        </w:tc>
        <w:tc>
          <w:tcPr>
            <w:tcW w:type="dxa" w:w="2448"/>
            <w:tcMar>
              <w:top w:w="60" w:type="dxa"/>
              <w:bottom w:w="60" w:type="dxa"/>
              <w:start w:w="90" w:type="dxa"/>
              <w:end w:w="90" w:type="dxa"/>
            </w:tcMar>
            <w:shd w:val="clear" w:fill="FFFFFF"/>
          </w:tcPr>
          <w:p>
            <w:r>
              <w:rPr>
                <w:b w:val="0"/>
                <w:sz w:val="17"/>
              </w:rPr>
              <w:t>ML-DSA-signed, encrypted `[NFR-PQ-3]`</w:t>
            </w:r>
          </w:p>
        </w:tc>
      </w:tr>
      <w:tr>
        <w:tc>
          <w:tcPr>
            <w:tcW w:type="dxa" w:w="2448"/>
            <w:tcMar>
              <w:top w:w="60" w:type="dxa"/>
              <w:bottom w:w="60" w:type="dxa"/>
              <w:start w:w="90" w:type="dxa"/>
              <w:end w:w="90" w:type="dxa"/>
            </w:tcMar>
            <w:shd w:val="clear" w:fill="EEF3F8"/>
          </w:tcPr>
          <w:p>
            <w:r>
              <w:rPr>
                <w:b w:val="0"/>
                <w:sz w:val="17"/>
              </w:rPr>
              <w:t>Key store</w:t>
            </w:r>
          </w:p>
        </w:tc>
        <w:tc>
          <w:tcPr>
            <w:tcW w:type="dxa" w:w="2448"/>
            <w:tcMar>
              <w:top w:w="60" w:type="dxa"/>
              <w:bottom w:w="60" w:type="dxa"/>
              <w:start w:w="90" w:type="dxa"/>
              <w:end w:w="90" w:type="dxa"/>
            </w:tcMar>
            <w:shd w:val="clear" w:fill="EEF3F8"/>
          </w:tcPr>
          <w:p>
            <w:r>
              <w:rPr>
                <w:b w:val="0"/>
                <w:sz w:val="17"/>
              </w:rPr>
              <w:t>KMS-managed / HSM-sealed</w:t>
            </w:r>
          </w:p>
        </w:tc>
        <w:tc>
          <w:tcPr>
            <w:tcW w:type="dxa" w:w="2448"/>
            <w:tcMar>
              <w:top w:w="60" w:type="dxa"/>
              <w:bottom w:w="60" w:type="dxa"/>
              <w:start w:w="90" w:type="dxa"/>
              <w:end w:w="90" w:type="dxa"/>
            </w:tcMar>
            <w:shd w:val="clear" w:fill="EEF3F8"/>
          </w:tcPr>
          <w:p>
            <w:r>
              <w:rPr>
                <w:b w:val="0"/>
                <w:sz w:val="17"/>
              </w:rPr>
              <w:t>Wrapped key material</w:t>
            </w:r>
          </w:p>
        </w:tc>
        <w:tc>
          <w:tcPr>
            <w:tcW w:type="dxa" w:w="2448"/>
            <w:tcMar>
              <w:top w:w="60" w:type="dxa"/>
              <w:bottom w:w="60" w:type="dxa"/>
              <w:start w:w="90" w:type="dxa"/>
              <w:end w:w="90" w:type="dxa"/>
            </w:tcMar>
            <w:shd w:val="clear" w:fill="EEF3F8"/>
          </w:tcPr>
          <w:p>
            <w:r>
              <w:rPr>
                <w:b w:val="0"/>
                <w:sz w:val="17"/>
              </w:rPr>
              <w:t>Sealed to HSM/TPM `[NFR-PQ-2]`</w:t>
            </w:r>
          </w:p>
        </w:tc>
      </w:tr>
    </w:tbl>
    <w:p/>
    <w:p>
      <w:pPr>
        <w:pStyle w:val="Heading2"/>
      </w:pPr>
      <w:r>
        <w:t>8.4 Data flow &amp; lineage</w:t>
      </w:r>
    </w:p>
    <w:p>
      <w:r>
        <w:rPr>
          <w:sz w:val="21"/>
        </w:rPr>
        <w:t xml:space="preserve">Source data enters via Forge connectors, is transformed into datasets, and is funnelled into object instances. Every subsequent read, edit (via Action), or agent operation is recorded in the append-only, PQ-signed audit store, providing complete lineage from source to decision. </w:t>
      </w:r>
      <w:r>
        <w:rPr>
          <w:rFonts w:ascii="Consolas" w:hAnsi="Consolas"/>
          <w:color w:val="0B4884"/>
          <w:sz w:val="18"/>
        </w:rPr>
        <w:t>[NFR-SEC-2]</w:t>
      </w:r>
      <w:r>
        <w:rPr>
          <w:sz w:val="21"/>
        </w:rPr>
        <w:t xml:space="preserve"> </w:t>
      </w:r>
      <w:r>
        <w:rPr>
          <w:rFonts w:ascii="Consolas" w:hAnsi="Consolas"/>
          <w:color w:val="0B4884"/>
          <w:sz w:val="18"/>
        </w:rPr>
        <w:t>[NFR-AI-1]</w:t>
      </w:r>
      <w:r>
        <w:rPr>
          <w:sz w:val="21"/>
        </w:rPr>
      </w:r>
    </w:p>
    <w:p>
      <w:pPr>
        <w:pStyle w:val="Heading2"/>
      </w:pPr>
      <w:r>
        <w:t>8.5 Data classification &amp; retention</w:t>
      </w:r>
    </w:p>
    <w:p>
      <w:r>
        <w:rPr>
          <w:sz w:val="21"/>
        </w:rPr>
        <w:t xml:space="preserve">Markings drive mandatory access control and retention policy; data may be sealed (Kryotech Seal) for at-rest confidentiality with per-object key wrapping, and retention windows are enforced by the governance service. </w:t>
      </w:r>
      <w:r>
        <w:rPr>
          <w:rFonts w:ascii="Consolas" w:hAnsi="Consolas"/>
          <w:color w:val="0B4884"/>
          <w:sz w:val="18"/>
        </w:rPr>
        <w:t>[NFR-SEC-2]</w:t>
      </w:r>
      <w:r>
        <w:rPr>
          <w:sz w:val="21"/>
        </w:rPr>
      </w:r>
    </w:p>
    <w:p>
      <w:pPr>
        <w:pStyle w:val="Heading1"/>
      </w:pPr>
      <w:r>
        <w:t>9. Integration Architecture</w:t>
      </w:r>
    </w:p>
    <w:p>
      <w:pPr>
        <w:pStyle w:val="Heading2"/>
      </w:pPr>
      <w:r>
        <w:t>9.1 API surface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Surface</w:t>
            </w:r>
          </w:p>
        </w:tc>
        <w:tc>
          <w:tcPr>
            <w:tcW w:type="dxa" w:w="3264"/>
            <w:shd w:val="clear" w:fill="0B4884"/>
            <w:tcMar>
              <w:top w:w="60" w:type="dxa"/>
              <w:bottom w:w="60" w:type="dxa"/>
              <w:start w:w="90" w:type="dxa"/>
              <w:end w:w="90" w:type="dxa"/>
            </w:tcMar>
          </w:tcPr>
          <w:p>
            <w:r>
              <w:rPr>
                <w:b/>
                <w:color w:val="FFFFFF"/>
                <w:sz w:val="18"/>
              </w:rPr>
              <w:t>Protocol</w:t>
            </w:r>
          </w:p>
        </w:tc>
        <w:tc>
          <w:tcPr>
            <w:tcW w:type="dxa" w:w="3264"/>
            <w:shd w:val="clear" w:fill="0B4884"/>
            <w:tcMar>
              <w:top w:w="60" w:type="dxa"/>
              <w:bottom w:w="60" w:type="dxa"/>
              <w:start w:w="90" w:type="dxa"/>
              <w:end w:w="90" w:type="dxa"/>
            </w:tcMar>
          </w:tcPr>
          <w:p>
            <w:r>
              <w:rPr>
                <w:b/>
                <w:color w:val="FFFFFF"/>
                <w:sz w:val="18"/>
              </w:rPr>
              <w:t>Purpose</w:t>
            </w:r>
          </w:p>
        </w:tc>
      </w:tr>
      <w:tr>
        <w:tc>
          <w:tcPr>
            <w:tcW w:type="dxa" w:w="3264"/>
            <w:tcMar>
              <w:top w:w="60" w:type="dxa"/>
              <w:bottom w:w="60" w:type="dxa"/>
              <w:start w:w="90" w:type="dxa"/>
              <w:end w:w="90" w:type="dxa"/>
            </w:tcMar>
            <w:shd w:val="clear" w:fill="FFFFFF"/>
          </w:tcPr>
          <w:p>
            <w:r>
              <w:rPr>
                <w:b w:val="0"/>
                <w:sz w:val="17"/>
              </w:rPr>
              <w:t>Object API</w:t>
            </w:r>
          </w:p>
        </w:tc>
        <w:tc>
          <w:tcPr>
            <w:tcW w:type="dxa" w:w="3264"/>
            <w:tcMar>
              <w:top w:w="60" w:type="dxa"/>
              <w:bottom w:w="60" w:type="dxa"/>
              <w:start w:w="90" w:type="dxa"/>
              <w:end w:w="90" w:type="dxa"/>
            </w:tcMar>
            <w:shd w:val="clear" w:fill="FFFFFF"/>
          </w:tcPr>
          <w:p>
            <w:r>
              <w:rPr>
                <w:b w:val="0"/>
                <w:sz w:val="17"/>
              </w:rPr>
              <w:t>gRPC + REST over PQ-mTLS</w:t>
            </w:r>
          </w:p>
        </w:tc>
        <w:tc>
          <w:tcPr>
            <w:tcW w:type="dxa" w:w="3264"/>
            <w:tcMar>
              <w:top w:w="60" w:type="dxa"/>
              <w:bottom w:w="60" w:type="dxa"/>
              <w:start w:w="90" w:type="dxa"/>
              <w:end w:w="90" w:type="dxa"/>
            </w:tcMar>
            <w:shd w:val="clear" w:fill="FFFFFF"/>
          </w:tcPr>
          <w:p>
            <w:r>
              <w:rPr>
                <w:b w:val="0"/>
                <w:sz w:val="17"/>
              </w:rPr>
              <w:t>CRUD/query on objects, links; search-around</w:t>
            </w:r>
          </w:p>
        </w:tc>
      </w:tr>
      <w:tr>
        <w:tc>
          <w:tcPr>
            <w:tcW w:type="dxa" w:w="3264"/>
            <w:tcMar>
              <w:top w:w="60" w:type="dxa"/>
              <w:bottom w:w="60" w:type="dxa"/>
              <w:start w:w="90" w:type="dxa"/>
              <w:end w:w="90" w:type="dxa"/>
            </w:tcMar>
            <w:shd w:val="clear" w:fill="EEF3F8"/>
          </w:tcPr>
          <w:p>
            <w:r>
              <w:rPr>
                <w:b w:val="0"/>
                <w:sz w:val="17"/>
              </w:rPr>
              <w:t>Action API</w:t>
            </w:r>
          </w:p>
        </w:tc>
        <w:tc>
          <w:tcPr>
            <w:tcW w:type="dxa" w:w="3264"/>
            <w:tcMar>
              <w:top w:w="60" w:type="dxa"/>
              <w:bottom w:w="60" w:type="dxa"/>
              <w:start w:w="90" w:type="dxa"/>
              <w:end w:w="90" w:type="dxa"/>
            </w:tcMar>
            <w:shd w:val="clear" w:fill="EEF3F8"/>
          </w:tcPr>
          <w:p>
            <w:r>
              <w:rPr>
                <w:b w:val="0"/>
                <w:sz w:val="17"/>
              </w:rPr>
              <w:t>gRPC + REST</w:t>
            </w:r>
          </w:p>
        </w:tc>
        <w:tc>
          <w:tcPr>
            <w:tcW w:type="dxa" w:w="3264"/>
            <w:tcMar>
              <w:top w:w="60" w:type="dxa"/>
              <w:bottom w:w="60" w:type="dxa"/>
              <w:start w:w="90" w:type="dxa"/>
              <w:end w:w="90" w:type="dxa"/>
            </w:tcMar>
            <w:shd w:val="clear" w:fill="EEF3F8"/>
          </w:tcPr>
          <w:p>
            <w:r>
              <w:rPr>
                <w:b w:val="0"/>
                <w:sz w:val="17"/>
              </w:rPr>
              <w:t>Apply actions; returns audit id</w:t>
            </w:r>
          </w:p>
        </w:tc>
      </w:tr>
      <w:tr>
        <w:tc>
          <w:tcPr>
            <w:tcW w:type="dxa" w:w="3264"/>
            <w:tcMar>
              <w:top w:w="60" w:type="dxa"/>
              <w:bottom w:w="60" w:type="dxa"/>
              <w:start w:w="90" w:type="dxa"/>
              <w:end w:w="90" w:type="dxa"/>
            </w:tcMar>
            <w:shd w:val="clear" w:fill="FFFFFF"/>
          </w:tcPr>
          <w:p>
            <w:r>
              <w:rPr>
                <w:b w:val="0"/>
                <w:sz w:val="17"/>
              </w:rPr>
              <w:t>Function API</w:t>
            </w:r>
          </w:p>
        </w:tc>
        <w:tc>
          <w:tcPr>
            <w:tcW w:type="dxa" w:w="3264"/>
            <w:tcMar>
              <w:top w:w="60" w:type="dxa"/>
              <w:bottom w:w="60" w:type="dxa"/>
              <w:start w:w="90" w:type="dxa"/>
              <w:end w:w="90" w:type="dxa"/>
            </w:tcMar>
            <w:shd w:val="clear" w:fill="FFFFFF"/>
          </w:tcPr>
          <w:p>
            <w:r>
              <w:rPr>
                <w:b w:val="0"/>
                <w:sz w:val="17"/>
              </w:rPr>
              <w:t>gRPC</w:t>
            </w:r>
          </w:p>
        </w:tc>
        <w:tc>
          <w:tcPr>
            <w:tcW w:type="dxa" w:w="3264"/>
            <w:tcMar>
              <w:top w:w="60" w:type="dxa"/>
              <w:bottom w:w="60" w:type="dxa"/>
              <w:start w:w="90" w:type="dxa"/>
              <w:end w:w="90" w:type="dxa"/>
            </w:tcMar>
            <w:shd w:val="clear" w:fill="FFFFFF"/>
          </w:tcPr>
          <w:p>
            <w:r>
              <w:rPr>
                <w:b w:val="0"/>
                <w:sz w:val="17"/>
              </w:rPr>
              <w:t>Invoke functions (incl. Mimir-backed)</w:t>
            </w:r>
          </w:p>
        </w:tc>
      </w:tr>
      <w:tr>
        <w:tc>
          <w:tcPr>
            <w:tcW w:type="dxa" w:w="3264"/>
            <w:tcMar>
              <w:top w:w="60" w:type="dxa"/>
              <w:bottom w:w="60" w:type="dxa"/>
              <w:start w:w="90" w:type="dxa"/>
              <w:end w:w="90" w:type="dxa"/>
            </w:tcMar>
            <w:shd w:val="clear" w:fill="EEF3F8"/>
          </w:tcPr>
          <w:p>
            <w:r>
              <w:rPr>
                <w:b w:val="0"/>
                <w:sz w:val="17"/>
              </w:rPr>
              <w:t>Admin API</w:t>
            </w:r>
          </w:p>
        </w:tc>
        <w:tc>
          <w:tcPr>
            <w:tcW w:type="dxa" w:w="3264"/>
            <w:tcMar>
              <w:top w:w="60" w:type="dxa"/>
              <w:bottom w:w="60" w:type="dxa"/>
              <w:start w:w="90" w:type="dxa"/>
              <w:end w:w="90" w:type="dxa"/>
            </w:tcMar>
            <w:shd w:val="clear" w:fill="EEF3F8"/>
          </w:tcPr>
          <w:p>
            <w:r>
              <w:rPr>
                <w:b w:val="0"/>
                <w:sz w:val="17"/>
              </w:rPr>
              <w:t>REST</w:t>
            </w:r>
          </w:p>
        </w:tc>
        <w:tc>
          <w:tcPr>
            <w:tcW w:type="dxa" w:w="3264"/>
            <w:tcMar>
              <w:top w:w="60" w:type="dxa"/>
              <w:bottom w:w="60" w:type="dxa"/>
              <w:start w:w="90" w:type="dxa"/>
              <w:end w:w="90" w:type="dxa"/>
            </w:tcMar>
            <w:shd w:val="clear" w:fill="EEF3F8"/>
          </w:tcPr>
          <w:p>
            <w:r>
              <w:rPr>
                <w:b w:val="0"/>
                <w:sz w:val="17"/>
              </w:rPr>
              <w:t>Types, policies, markings, upgrades</w:t>
            </w:r>
          </w:p>
        </w:tc>
      </w:tr>
      <w:tr>
        <w:tc>
          <w:tcPr>
            <w:tcW w:type="dxa" w:w="3264"/>
            <w:tcMar>
              <w:top w:w="60" w:type="dxa"/>
              <w:bottom w:w="60" w:type="dxa"/>
              <w:start w:w="90" w:type="dxa"/>
              <w:end w:w="90" w:type="dxa"/>
            </w:tcMar>
            <w:shd w:val="clear" w:fill="FFFFFF"/>
          </w:tcPr>
          <w:p>
            <w:r>
              <w:rPr>
                <w:b w:val="0"/>
                <w:sz w:val="17"/>
              </w:rPr>
              <w:t>MCP endpoint</w:t>
            </w:r>
          </w:p>
        </w:tc>
        <w:tc>
          <w:tcPr>
            <w:tcW w:type="dxa" w:w="3264"/>
            <w:tcMar>
              <w:top w:w="60" w:type="dxa"/>
              <w:bottom w:w="60" w:type="dxa"/>
              <w:start w:w="90" w:type="dxa"/>
              <w:end w:w="90" w:type="dxa"/>
            </w:tcMar>
            <w:shd w:val="clear" w:fill="FFFFFF"/>
          </w:tcPr>
          <w:p>
            <w:r>
              <w:rPr>
                <w:b w:val="0"/>
                <w:sz w:val="17"/>
              </w:rPr>
              <w:t>MCP over PQ-mTLS</w:t>
            </w:r>
          </w:p>
        </w:tc>
        <w:tc>
          <w:tcPr>
            <w:tcW w:type="dxa" w:w="3264"/>
            <w:tcMar>
              <w:top w:w="60" w:type="dxa"/>
              <w:bottom w:w="60" w:type="dxa"/>
              <w:start w:w="90" w:type="dxa"/>
              <w:end w:w="90" w:type="dxa"/>
            </w:tcMar>
            <w:shd w:val="clear" w:fill="FFFFFF"/>
          </w:tcPr>
          <w:p>
            <w:r>
              <w:rPr>
                <w:b w:val="0"/>
                <w:sz w:val="17"/>
              </w:rPr>
              <w:t>Governed agent/tool access to the fabric `[DD-4]`</w:t>
            </w:r>
          </w:p>
        </w:tc>
      </w:tr>
    </w:tbl>
    <w:p/>
    <w:p>
      <w:pPr>
        <w:pStyle w:val="Heading2"/>
      </w:pPr>
      <w:r>
        <w:t>9.2 Asynchronous messaging</w:t>
      </w:r>
    </w:p>
    <w:p>
      <w:r>
        <w:rPr>
          <w:sz w:val="21"/>
        </w:rPr>
        <w:t xml:space="preserve">An internal event bus carries object-change events, index-update events, and audit events. Products subscribe to relevant topics; all payloads are encrypted and event provenance is signed. </w:t>
      </w:r>
      <w:r>
        <w:rPr>
          <w:rFonts w:ascii="Consolas" w:hAnsi="Consolas"/>
          <w:color w:val="0B4884"/>
          <w:sz w:val="18"/>
        </w:rPr>
        <w:t>[NFR-PQ-3]</w:t>
      </w:r>
      <w:r>
        <w:rPr>
          <w:sz w:val="21"/>
        </w:rPr>
      </w:r>
    </w:p>
    <w:p>
      <w:pPr>
        <w:pStyle w:val="Heading2"/>
      </w:pPr>
      <w:r>
        <w:t>9.3 External integrations</w:t>
      </w:r>
    </w:p>
    <w:p>
      <w:r>
        <w:rPr>
          <w:sz w:val="21"/>
        </w:rPr>
        <w:t xml:space="preserve">External coupling is deliberately minimal and inbound-only: data-source connectors (Forge), optional IdP federation, and optional HSM/TPM. No core function calls an external service. </w:t>
      </w:r>
      <w:r>
        <w:rPr>
          <w:rFonts w:ascii="Consolas" w:hAnsi="Consolas"/>
          <w:color w:val="0B4884"/>
          <w:sz w:val="18"/>
        </w:rPr>
        <w:t>[NFR-PRV-1]</w:t>
      </w:r>
      <w:r>
        <w:rPr>
          <w:sz w:val="21"/>
        </w:rPr>
      </w:r>
    </w:p>
    <w:p>
      <w:pPr>
        <w:pStyle w:val="Heading2"/>
      </w:pPr>
      <w:r>
        <w:t>9.4 Webhooks &amp; callbacks</w:t>
      </w:r>
    </w:p>
    <w:p>
      <w:r>
        <w:rPr>
          <w:sz w:val="21"/>
        </w:rPr>
        <w:t xml:space="preserve">Outbound webhooks are an opt-in governance-gated capability (e.g. notify an external ticketing system) and are disabled by default in air-gapped deployments. </w:t>
      </w:r>
      <w:r>
        <w:rPr>
          <w:rFonts w:ascii="Consolas" w:hAnsi="Consolas"/>
          <w:color w:val="0B4884"/>
          <w:sz w:val="18"/>
        </w:rPr>
        <w:t>[DD-7]</w:t>
      </w:r>
      <w:r>
        <w:rPr>
          <w:sz w:val="21"/>
        </w:rPr>
      </w:r>
    </w:p>
    <w:p>
      <w:pPr>
        <w:pStyle w:val="Heading2"/>
      </w:pPr>
      <w:r>
        <w:t>9.5 Authentication &amp; authorisation flow</w:t>
      </w:r>
    </w:p>
    <w:p>
      <w:r>
        <w:rPr>
          <w:sz w:val="21"/>
        </w:rPr>
        <w:t>The sequence below shows the hybrid post-quantum handshake and token issuance that precedes every authenticated session.</w:t>
      </w:r>
    </w:p>
    <w:p>
      <w:pPr>
        <w:jc w:val="center"/>
      </w:pPr>
      <w:r>
        <w:drawing>
          <wp:inline xmlns:a="http://schemas.openxmlformats.org/drawingml/2006/main" xmlns:pic="http://schemas.openxmlformats.org/drawingml/2006/picture">
            <wp:extent cx="6035040" cy="3156080"/>
            <wp:docPr id="5" name="Picture 5"/>
            <wp:cNvGraphicFramePr>
              <a:graphicFrameLocks noChangeAspect="1"/>
            </wp:cNvGraphicFramePr>
            <a:graphic>
              <a:graphicData uri="http://schemas.openxmlformats.org/drawingml/2006/picture">
                <pic:pic>
                  <pic:nvPicPr>
                    <pic:cNvPr id="0" name="midgard_seq_pq_handshake.png"/>
                    <pic:cNvPicPr/>
                  </pic:nvPicPr>
                  <pic:blipFill>
                    <a:blip r:embed="rId12"/>
                    <a:stretch>
                      <a:fillRect/>
                    </a:stretch>
                  </pic:blipFill>
                  <pic:spPr>
                    <a:xfrm>
                      <a:off x="0" y="0"/>
                      <a:ext cx="6035040" cy="3156080"/>
                    </a:xfrm>
                    <a:prstGeom prst="rect"/>
                  </pic:spPr>
                </pic:pic>
              </a:graphicData>
            </a:graphic>
          </wp:inline>
        </w:drawing>
      </w:r>
    </w:p>
    <w:p>
      <w:pPr>
        <w:jc w:val="center"/>
      </w:pPr>
      <w:r>
        <w:rPr>
          <w:i/>
          <w:color w:val="595959"/>
          <w:sz w:val="17"/>
        </w:rPr>
        <w:t>Figure 9.1 — Post-quantum authenticated session establishment (hybrid X25519 + ML-KEM-768).</w:t>
      </w:r>
    </w:p>
    <w:p/>
    <w:p>
      <w:pPr>
        <w:pStyle w:val="Heading1"/>
      </w:pPr>
      <w:r>
        <w:t>10. Infrastructure &amp; Deployment</w:t>
      </w:r>
    </w:p>
    <w:p>
      <w:pPr>
        <w:pStyle w:val="Heading2"/>
      </w:pPr>
      <w:r>
        <w:t>10.1 Deployment topology</w:t>
      </w:r>
    </w:p>
    <w:p>
      <w:pPr>
        <w:jc w:val="center"/>
      </w:pPr>
      <w:r>
        <w:drawing>
          <wp:inline xmlns:a="http://schemas.openxmlformats.org/drawingml/2006/main" xmlns:pic="http://schemas.openxmlformats.org/drawingml/2006/picture">
            <wp:extent cx="6035040" cy="3363919"/>
            <wp:docPr id="6" name="Picture 6"/>
            <wp:cNvGraphicFramePr>
              <a:graphicFrameLocks noChangeAspect="1"/>
            </wp:cNvGraphicFramePr>
            <a:graphic>
              <a:graphicData uri="http://schemas.openxmlformats.org/drawingml/2006/picture">
                <pic:pic>
                  <pic:nvPicPr>
                    <pic:cNvPr id="0" name="midgard_deployment.png"/>
                    <pic:cNvPicPr/>
                  </pic:nvPicPr>
                  <pic:blipFill>
                    <a:blip r:embed="rId13"/>
                    <a:stretch>
                      <a:fillRect/>
                    </a:stretch>
                  </pic:blipFill>
                  <pic:spPr>
                    <a:xfrm>
                      <a:off x="0" y="0"/>
                      <a:ext cx="6035040" cy="3363919"/>
                    </a:xfrm>
                    <a:prstGeom prst="rect"/>
                  </pic:spPr>
                </pic:pic>
              </a:graphicData>
            </a:graphic>
          </wp:inline>
        </w:drawing>
      </w:r>
    </w:p>
    <w:p>
      <w:pPr>
        <w:jc w:val="center"/>
      </w:pPr>
      <w:r>
        <w:rPr>
          <w:i/>
          <w:color w:val="595959"/>
          <w:sz w:val="17"/>
        </w:rPr>
        <w:t>Figure 10.1 — Reference deployment topology (self-hosted HA within the enclosure).</w:t>
      </w:r>
    </w:p>
    <w:p/>
    <w:p>
      <w:pPr>
        <w:pStyle w:val="Heading2"/>
      </w:pPr>
      <w:r>
        <w:t>10.2 Compute platform</w:t>
      </w:r>
    </w:p>
    <w:p>
      <w:r>
        <w:rPr>
          <w:sz w:val="21"/>
        </w:rPr>
        <w:t xml:space="preserve">Kubernetes-based mesh; control-plane services run as stateful and stateless workloads with autoscaling; GPU node pool serves Mimir inference. Supports single-node (dev), HA cluster (prod), and air-gapped installations. </w:t>
      </w:r>
      <w:r>
        <w:rPr>
          <w:rFonts w:ascii="Consolas" w:hAnsi="Consolas"/>
          <w:color w:val="0B4884"/>
          <w:sz w:val="18"/>
        </w:rPr>
        <w:t>[NFR-AVA-1]</w:t>
      </w:r>
      <w:r>
        <w:rPr>
          <w:sz w:val="21"/>
        </w:rPr>
        <w:t xml:space="preserve"> </w:t>
      </w:r>
      <w:r>
        <w:rPr>
          <w:rFonts w:ascii="Consolas" w:hAnsi="Consolas"/>
          <w:color w:val="0B4884"/>
          <w:sz w:val="18"/>
        </w:rPr>
        <w:t>[NFR-PRV-1]</w:t>
      </w:r>
      <w:r>
        <w:rPr>
          <w:sz w:val="21"/>
        </w:rPr>
      </w:r>
    </w:p>
    <w:p>
      <w:pPr>
        <w:pStyle w:val="Heading2"/>
      </w:pPr>
      <w:r>
        <w:t>10.3 Networking</w:t>
      </w:r>
    </w:p>
    <w:p>
      <w:r>
        <w:rPr>
          <w:sz w:val="21"/>
        </w:rPr>
        <w:t xml:space="preserve">A default-deny network policy governs pod-to-pod traffic; every internal hop is PQ-mTLS; ingress is limited to the gateway; egress is denied by default and allow-listed only where a connector requires it. </w:t>
      </w:r>
      <w:r>
        <w:rPr>
          <w:rFonts w:ascii="Consolas" w:hAnsi="Consolas"/>
          <w:color w:val="0B4884"/>
          <w:sz w:val="18"/>
        </w:rPr>
        <w:t>[NFR-SEC-1]</w:t>
      </w:r>
      <w:r>
        <w:rPr>
          <w:sz w:val="21"/>
        </w:rPr>
      </w:r>
    </w:p>
    <w:p>
      <w:pPr>
        <w:pStyle w:val="Heading2"/>
      </w:pPr>
      <w:r>
        <w:t>10.4 Storage</w:t>
      </w:r>
    </w:p>
    <w:p>
      <w:r>
        <w:rPr>
          <w:sz w:val="21"/>
        </w:rPr>
        <w:t xml:space="preserve">Persistent volumes for the object, metadata, and audit stores; encrypted at rest with PQ-wrapped keys; snapshotted for backup. </w:t>
      </w:r>
      <w:r>
        <w:rPr>
          <w:rFonts w:ascii="Consolas" w:hAnsi="Consolas"/>
          <w:color w:val="0B4884"/>
          <w:sz w:val="18"/>
        </w:rPr>
        <w:t>[NFR-PQ-2]</w:t>
      </w:r>
      <w:r>
        <w:rPr>
          <w:sz w:val="21"/>
        </w:rPr>
      </w:r>
    </w:p>
    <w:p>
      <w:pPr>
        <w:pStyle w:val="Heading2"/>
      </w:pPr>
      <w:r>
        <w:t>10.5 Environments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Environment</w:t>
            </w:r>
          </w:p>
        </w:tc>
        <w:tc>
          <w:tcPr>
            <w:tcW w:type="dxa" w:w="3264"/>
            <w:shd w:val="clear" w:fill="0B4884"/>
            <w:tcMar>
              <w:top w:w="60" w:type="dxa"/>
              <w:bottom w:w="60" w:type="dxa"/>
              <w:start w:w="90" w:type="dxa"/>
              <w:end w:w="90" w:type="dxa"/>
            </w:tcMar>
          </w:tcPr>
          <w:p>
            <w:r>
              <w:rPr>
                <w:b/>
                <w:color w:val="FFFFFF"/>
                <w:sz w:val="18"/>
              </w:rPr>
              <w:t>Purpose</w:t>
            </w:r>
          </w:p>
        </w:tc>
        <w:tc>
          <w:tcPr>
            <w:tcW w:type="dxa" w:w="3264"/>
            <w:shd w:val="clear" w:fill="0B4884"/>
            <w:tcMar>
              <w:top w:w="60" w:type="dxa"/>
              <w:bottom w:w="60" w:type="dxa"/>
              <w:start w:w="90" w:type="dxa"/>
              <w:end w:w="90" w:type="dxa"/>
            </w:tcMar>
          </w:tcPr>
          <w:p>
            <w:r>
              <w:rPr>
                <w:b/>
                <w:color w:val="FFFFFF"/>
                <w:sz w:val="18"/>
              </w:rPr>
              <w:t>Shape</w:t>
            </w:r>
          </w:p>
        </w:tc>
      </w:tr>
      <w:tr>
        <w:tc>
          <w:tcPr>
            <w:tcW w:type="dxa" w:w="3264"/>
            <w:tcMar>
              <w:top w:w="60" w:type="dxa"/>
              <w:bottom w:w="60" w:type="dxa"/>
              <w:start w:w="90" w:type="dxa"/>
              <w:end w:w="90" w:type="dxa"/>
            </w:tcMar>
            <w:shd w:val="clear" w:fill="FFFFFF"/>
          </w:tcPr>
          <w:p>
            <w:r>
              <w:rPr>
                <w:b w:val="0"/>
                <w:sz w:val="17"/>
              </w:rPr>
              <w:t>dev</w:t>
            </w:r>
          </w:p>
        </w:tc>
        <w:tc>
          <w:tcPr>
            <w:tcW w:type="dxa" w:w="3264"/>
            <w:tcMar>
              <w:top w:w="60" w:type="dxa"/>
              <w:bottom w:w="60" w:type="dxa"/>
              <w:start w:w="90" w:type="dxa"/>
              <w:end w:w="90" w:type="dxa"/>
            </w:tcMar>
            <w:shd w:val="clear" w:fill="FFFFFF"/>
          </w:tcPr>
          <w:p>
            <w:r>
              <w:rPr>
                <w:b w:val="0"/>
                <w:sz w:val="17"/>
              </w:rPr>
              <w:t>Single-node developer install</w:t>
            </w:r>
          </w:p>
        </w:tc>
        <w:tc>
          <w:tcPr>
            <w:tcW w:type="dxa" w:w="3264"/>
            <w:tcMar>
              <w:top w:w="60" w:type="dxa"/>
              <w:bottom w:w="60" w:type="dxa"/>
              <w:start w:w="90" w:type="dxa"/>
              <w:end w:w="90" w:type="dxa"/>
            </w:tcMar>
            <w:shd w:val="clear" w:fill="FFFFFF"/>
          </w:tcPr>
          <w:p>
            <w:r>
              <w:rPr>
                <w:b w:val="0"/>
                <w:sz w:val="17"/>
              </w:rPr>
              <w:t>1 node, no HA, self-signed trust root</w:t>
            </w:r>
          </w:p>
        </w:tc>
      </w:tr>
      <w:tr>
        <w:tc>
          <w:tcPr>
            <w:tcW w:type="dxa" w:w="3264"/>
            <w:tcMar>
              <w:top w:w="60" w:type="dxa"/>
              <w:bottom w:w="60" w:type="dxa"/>
              <w:start w:w="90" w:type="dxa"/>
              <w:end w:w="90" w:type="dxa"/>
            </w:tcMar>
            <w:shd w:val="clear" w:fill="EEF3F8"/>
          </w:tcPr>
          <w:p>
            <w:r>
              <w:rPr>
                <w:b w:val="0"/>
                <w:sz w:val="17"/>
              </w:rPr>
              <w:t>staging</w:t>
            </w:r>
          </w:p>
        </w:tc>
        <w:tc>
          <w:tcPr>
            <w:tcW w:type="dxa" w:w="3264"/>
            <w:tcMar>
              <w:top w:w="60" w:type="dxa"/>
              <w:bottom w:w="60" w:type="dxa"/>
              <w:start w:w="90" w:type="dxa"/>
              <w:end w:w="90" w:type="dxa"/>
            </w:tcMar>
            <w:shd w:val="clear" w:fill="EEF3F8"/>
          </w:tcPr>
          <w:p>
            <w:r>
              <w:rPr>
                <w:b w:val="0"/>
                <w:sz w:val="17"/>
              </w:rPr>
              <w:t>Pre-production validation</w:t>
            </w:r>
          </w:p>
        </w:tc>
        <w:tc>
          <w:tcPr>
            <w:tcW w:type="dxa" w:w="3264"/>
            <w:tcMar>
              <w:top w:w="60" w:type="dxa"/>
              <w:bottom w:w="60" w:type="dxa"/>
              <w:start w:w="90" w:type="dxa"/>
              <w:end w:w="90" w:type="dxa"/>
            </w:tcMar>
            <w:shd w:val="clear" w:fill="EEF3F8"/>
          </w:tcPr>
          <w:p>
            <w:r>
              <w:rPr>
                <w:b w:val="0"/>
                <w:sz w:val="17"/>
              </w:rPr>
              <w:t>HA cluster, full PQ, synthetic data</w:t>
            </w:r>
          </w:p>
        </w:tc>
      </w:tr>
      <w:tr>
        <w:tc>
          <w:tcPr>
            <w:tcW w:type="dxa" w:w="3264"/>
            <w:tcMar>
              <w:top w:w="60" w:type="dxa"/>
              <w:bottom w:w="60" w:type="dxa"/>
              <w:start w:w="90" w:type="dxa"/>
              <w:end w:w="90" w:type="dxa"/>
            </w:tcMar>
            <w:shd w:val="clear" w:fill="FFFFFF"/>
          </w:tcPr>
          <w:p>
            <w:r>
              <w:rPr>
                <w:b w:val="0"/>
                <w:sz w:val="17"/>
              </w:rPr>
              <w:t>prod</w:t>
            </w:r>
          </w:p>
        </w:tc>
        <w:tc>
          <w:tcPr>
            <w:tcW w:type="dxa" w:w="3264"/>
            <w:tcMar>
              <w:top w:w="60" w:type="dxa"/>
              <w:bottom w:w="60" w:type="dxa"/>
              <w:start w:w="90" w:type="dxa"/>
              <w:end w:w="90" w:type="dxa"/>
            </w:tcMar>
            <w:shd w:val="clear" w:fill="FFFFFF"/>
          </w:tcPr>
          <w:p>
            <w:r>
              <w:rPr>
                <w:b w:val="0"/>
                <w:sz w:val="17"/>
              </w:rPr>
              <w:t>Production / air-gapped</w:t>
            </w:r>
          </w:p>
        </w:tc>
        <w:tc>
          <w:tcPr>
            <w:tcW w:type="dxa" w:w="3264"/>
            <w:tcMar>
              <w:top w:w="60" w:type="dxa"/>
              <w:bottom w:w="60" w:type="dxa"/>
              <w:start w:w="90" w:type="dxa"/>
              <w:end w:w="90" w:type="dxa"/>
            </w:tcMar>
            <w:shd w:val="clear" w:fill="FFFFFF"/>
          </w:tcPr>
          <w:p>
            <w:r>
              <w:rPr>
                <w:b w:val="0"/>
                <w:sz w:val="17"/>
              </w:rPr>
              <w:t>HA cluster, HSM-sealed roots, egress-deny</w:t>
            </w:r>
          </w:p>
        </w:tc>
      </w:tr>
    </w:tbl>
    <w:p/>
    <w:p>
      <w:pPr>
        <w:pStyle w:val="Heading2"/>
      </w:pPr>
      <w:r>
        <w:t>10.6 CI/CD pipeline</w:t>
      </w:r>
    </w:p>
    <w:p>
      <w:pPr>
        <w:jc w:val="center"/>
      </w:pPr>
      <w:r>
        <w:drawing>
          <wp:inline xmlns:a="http://schemas.openxmlformats.org/drawingml/2006/main" xmlns:pic="http://schemas.openxmlformats.org/drawingml/2006/picture">
            <wp:extent cx="6035040" cy="446470"/>
            <wp:docPr id="7" name="Picture 7"/>
            <wp:cNvGraphicFramePr>
              <a:graphicFrameLocks noChangeAspect="1"/>
            </wp:cNvGraphicFramePr>
            <a:graphic>
              <a:graphicData uri="http://schemas.openxmlformats.org/drawingml/2006/picture">
                <pic:pic>
                  <pic:nvPicPr>
                    <pic:cNvPr id="0" name="midgard_cicd.png"/>
                    <pic:cNvPicPr/>
                  </pic:nvPicPr>
                  <pic:blipFill>
                    <a:blip r:embed="rId14"/>
                    <a:stretch>
                      <a:fillRect/>
                    </a:stretch>
                  </pic:blipFill>
                  <pic:spPr>
                    <a:xfrm>
                      <a:off x="0" y="0"/>
                      <a:ext cx="6035040" cy="446470"/>
                    </a:xfrm>
                    <a:prstGeom prst="rect"/>
                  </pic:spPr>
                </pic:pic>
              </a:graphicData>
            </a:graphic>
          </wp:inline>
        </w:drawing>
      </w:r>
    </w:p>
    <w:p>
      <w:pPr>
        <w:jc w:val="center"/>
      </w:pPr>
      <w:r>
        <w:rPr>
          <w:i/>
          <w:color w:val="595959"/>
          <w:sz w:val="17"/>
        </w:rPr>
        <w:t>Figure 10.2 — Suite CI/CD pipeline (reproducible build, SBOM, PQ-signing, staged deploy via Bifrost).</w:t>
      </w:r>
    </w:p>
    <w:p/>
    <w:p>
      <w:pPr>
        <w:pStyle w:val="Heading2"/>
      </w:pPr>
      <w:r>
        <w:t>10.7 Release process</w:t>
      </w:r>
    </w:p>
    <w:p>
      <w:r>
        <w:rPr>
          <w:sz w:val="21"/>
        </w:rPr>
        <w:t xml:space="preserve">Every release is reproducibly built, SBOM-attested (CycloneDX), PQ-signed (ML-DSA), and promoted through environments by Bifrost with zero-downtime rolling upgrades and automatic rollback on health-check failure. </w:t>
      </w:r>
      <w:r>
        <w:rPr>
          <w:rFonts w:ascii="Consolas" w:hAnsi="Consolas"/>
          <w:color w:val="0B4884"/>
          <w:sz w:val="18"/>
        </w:rPr>
        <w:t>[NFR-OSS-1]</w:t>
      </w:r>
      <w:r>
        <w:rPr>
          <w:sz w:val="21"/>
        </w:rPr>
        <w:t xml:space="preserve"> </w:t>
      </w:r>
      <w:r>
        <w:rPr>
          <w:rFonts w:ascii="Consolas" w:hAnsi="Consolas"/>
          <w:color w:val="0B4884"/>
          <w:sz w:val="18"/>
        </w:rPr>
        <w:t>[NFR-AVA-1]</w:t>
      </w:r>
      <w:r>
        <w:rPr>
          <w:sz w:val="21"/>
        </w:rPr>
      </w:r>
    </w:p>
    <w:p>
      <w:pPr>
        <w:pStyle w:val="Heading1"/>
      </w:pPr>
      <w:r>
        <w:t>11. Security Architecture</w:t>
      </w:r>
    </w:p>
    <w:p>
      <w:pPr>
        <w:pStyle w:val="Heading2"/>
      </w:pPr>
      <w:r>
        <w:t>11.1 Threat model (STRIDE DFD)</w:t>
      </w:r>
    </w:p>
    <w:p>
      <w:pPr>
        <w:jc w:val="center"/>
      </w:pPr>
      <w:r>
        <w:drawing>
          <wp:inline xmlns:a="http://schemas.openxmlformats.org/drawingml/2006/main" xmlns:pic="http://schemas.openxmlformats.org/drawingml/2006/picture">
            <wp:extent cx="6035040" cy="5691519"/>
            <wp:docPr id="8" name="Picture 8"/>
            <wp:cNvGraphicFramePr>
              <a:graphicFrameLocks noChangeAspect="1"/>
            </wp:cNvGraphicFramePr>
            <a:graphic>
              <a:graphicData uri="http://schemas.openxmlformats.org/drawingml/2006/picture">
                <pic:pic>
                  <pic:nvPicPr>
                    <pic:cNvPr id="0" name="midgard_threat_dfd.png"/>
                    <pic:cNvPicPr/>
                  </pic:nvPicPr>
                  <pic:blipFill>
                    <a:blip r:embed="rId15"/>
                    <a:stretch>
                      <a:fillRect/>
                    </a:stretch>
                  </pic:blipFill>
                  <pic:spPr>
                    <a:xfrm>
                      <a:off x="0" y="0"/>
                      <a:ext cx="6035040" cy="5691519"/>
                    </a:xfrm>
                    <a:prstGeom prst="rect"/>
                  </pic:spPr>
                </pic:pic>
              </a:graphicData>
            </a:graphic>
          </wp:inline>
        </w:drawing>
      </w:r>
    </w:p>
    <w:p>
      <w:pPr>
        <w:jc w:val="center"/>
      </w:pPr>
      <w:r>
        <w:rPr>
          <w:i/>
          <w:color w:val="595959"/>
          <w:sz w:val="17"/>
        </w:rPr>
        <w:t>Figure 11.1 — Data-flow diagram with trust boundaries for STRIDE analysis.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Boundary 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Actor → Gateway</w:t>
            </w:r>
          </w:p>
        </w:tc>
        <w:tc>
          <w:tcPr>
            <w:tcW w:type="dxa" w:w="3264"/>
            <w:tcMar>
              <w:top w:w="60" w:type="dxa"/>
              <w:bottom w:w="60" w:type="dxa"/>
              <w:start w:w="90" w:type="dxa"/>
              <w:end w:w="90" w:type="dxa"/>
            </w:tcMar>
            <w:shd w:val="clear" w:fill="FFFFFF"/>
          </w:tcPr>
          <w:p>
            <w:r>
              <w:rPr>
                <w:b w:val="0"/>
                <w:sz w:val="17"/>
              </w:rPr>
              <w:t>S, T, I, D</w:t>
            </w:r>
          </w:p>
        </w:tc>
        <w:tc>
          <w:tcPr>
            <w:tcW w:type="dxa" w:w="3264"/>
            <w:tcMar>
              <w:top w:w="60" w:type="dxa"/>
              <w:bottom w:w="60" w:type="dxa"/>
              <w:start w:w="90" w:type="dxa"/>
              <w:end w:w="90" w:type="dxa"/>
            </w:tcMar>
            <w:shd w:val="clear" w:fill="FFFFFF"/>
          </w:tcPr>
          <w:p>
            <w:r>
              <w:rPr>
                <w:b w:val="0"/>
                <w:sz w:val="17"/>
              </w:rPr>
              <w:t>Hybrid-PQ mTLS, token auth, rate limiting `[NFR-PQ-1]`</w:t>
            </w:r>
          </w:p>
        </w:tc>
      </w:tr>
      <w:tr>
        <w:tc>
          <w:tcPr>
            <w:tcW w:type="dxa" w:w="3264"/>
            <w:tcMar>
              <w:top w:w="60" w:type="dxa"/>
              <w:bottom w:w="60" w:type="dxa"/>
              <w:start w:w="90" w:type="dxa"/>
              <w:end w:w="90" w:type="dxa"/>
            </w:tcMar>
            <w:shd w:val="clear" w:fill="EEF3F8"/>
          </w:tcPr>
          <w:p>
            <w:r>
              <w:rPr>
                <w:b w:val="0"/>
                <w:sz w:val="17"/>
              </w:rPr>
              <w:t>Gateway → Fabric</w:t>
            </w:r>
          </w:p>
        </w:tc>
        <w:tc>
          <w:tcPr>
            <w:tcW w:type="dxa" w:w="3264"/>
            <w:tcMar>
              <w:top w:w="60" w:type="dxa"/>
              <w:bottom w:w="60" w:type="dxa"/>
              <w:start w:w="90" w:type="dxa"/>
              <w:end w:w="90" w:type="dxa"/>
            </w:tcMar>
            <w:shd w:val="clear" w:fill="EEF3F8"/>
          </w:tcPr>
          <w:p>
            <w:r>
              <w:rPr>
                <w:b w:val="0"/>
                <w:sz w:val="17"/>
              </w:rPr>
              <w:t>T, R, E</w:t>
            </w:r>
          </w:p>
        </w:tc>
        <w:tc>
          <w:tcPr>
            <w:tcW w:type="dxa" w:w="3264"/>
            <w:tcMar>
              <w:top w:w="60" w:type="dxa"/>
              <w:bottom w:w="60" w:type="dxa"/>
              <w:start w:w="90" w:type="dxa"/>
              <w:end w:w="90" w:type="dxa"/>
            </w:tcMar>
            <w:shd w:val="clear" w:fill="EEF3F8"/>
          </w:tcPr>
          <w:p>
            <w:r>
              <w:rPr>
                <w:b w:val="0"/>
                <w:sz w:val="17"/>
              </w:rPr>
              <w:t>Sidecar mTLS, policy point, signed audit `[NFR-SEC-2]`</w:t>
            </w:r>
          </w:p>
        </w:tc>
      </w:tr>
      <w:tr>
        <w:tc>
          <w:tcPr>
            <w:tcW w:type="dxa" w:w="3264"/>
            <w:tcMar>
              <w:top w:w="60" w:type="dxa"/>
              <w:bottom w:w="60" w:type="dxa"/>
              <w:start w:w="90" w:type="dxa"/>
              <w:end w:w="90" w:type="dxa"/>
            </w:tcMar>
            <w:shd w:val="clear" w:fill="FFFFFF"/>
          </w:tcPr>
          <w:p>
            <w:r>
              <w:rPr>
                <w:b w:val="0"/>
                <w:sz w:val="17"/>
              </w:rPr>
              <w:t>Fabric → Object store</w:t>
            </w:r>
          </w:p>
        </w:tc>
        <w:tc>
          <w:tcPr>
            <w:tcW w:type="dxa" w:w="3264"/>
            <w:tcMar>
              <w:top w:w="60" w:type="dxa"/>
              <w:bottom w:w="60" w:type="dxa"/>
              <w:start w:w="90" w:type="dxa"/>
              <w:end w:w="90" w:type="dxa"/>
            </w:tcMar>
            <w:shd w:val="clear" w:fill="FFFFFF"/>
          </w:tcPr>
          <w:p>
            <w:r>
              <w:rPr>
                <w:b w:val="0"/>
                <w:sz w:val="17"/>
              </w:rPr>
              <w:t>T, I</w:t>
            </w:r>
          </w:p>
        </w:tc>
        <w:tc>
          <w:tcPr>
            <w:tcW w:type="dxa" w:w="3264"/>
            <w:tcMar>
              <w:top w:w="60" w:type="dxa"/>
              <w:bottom w:w="60" w:type="dxa"/>
              <w:start w:w="90" w:type="dxa"/>
              <w:end w:w="90" w:type="dxa"/>
            </w:tcMar>
            <w:shd w:val="clear" w:fill="FFFFFF"/>
          </w:tcPr>
          <w:p>
            <w:r>
              <w:rPr>
                <w:b w:val="0"/>
                <w:sz w:val="17"/>
              </w:rPr>
              <w:t>Encrypted at rest, integrity tags `[NFR-PQ-2]`</w:t>
            </w:r>
          </w:p>
        </w:tc>
      </w:tr>
      <w:tr>
        <w:tc>
          <w:tcPr>
            <w:tcW w:type="dxa" w:w="3264"/>
            <w:tcMar>
              <w:top w:w="60" w:type="dxa"/>
              <w:bottom w:w="60" w:type="dxa"/>
              <w:start w:w="90" w:type="dxa"/>
              <w:end w:w="90" w:type="dxa"/>
            </w:tcMar>
            <w:shd w:val="clear" w:fill="EEF3F8"/>
          </w:tcPr>
          <w:p>
            <w:r>
              <w:rPr>
                <w:b w:val="0"/>
                <w:sz w:val="17"/>
              </w:rPr>
              <w:t>Any → KMS</w:t>
            </w:r>
          </w:p>
        </w:tc>
        <w:tc>
          <w:tcPr>
            <w:tcW w:type="dxa" w:w="3264"/>
            <w:tcMar>
              <w:top w:w="60" w:type="dxa"/>
              <w:bottom w:w="60" w:type="dxa"/>
              <w:start w:w="90" w:type="dxa"/>
              <w:end w:w="90" w:type="dxa"/>
            </w:tcMar>
            <w:shd w:val="clear" w:fill="EEF3F8"/>
          </w:tcPr>
          <w:p>
            <w:r>
              <w:rPr>
                <w:b w:val="0"/>
                <w:sz w:val="17"/>
              </w:rPr>
              <w:t>I, E</w:t>
            </w:r>
          </w:p>
        </w:tc>
        <w:tc>
          <w:tcPr>
            <w:tcW w:type="dxa" w:w="3264"/>
            <w:tcMar>
              <w:top w:w="60" w:type="dxa"/>
              <w:bottom w:w="60" w:type="dxa"/>
              <w:start w:w="90" w:type="dxa"/>
              <w:end w:w="90" w:type="dxa"/>
            </w:tcMar>
            <w:shd w:val="clear" w:fill="EEF3F8"/>
          </w:tcPr>
          <w:p>
            <w:r>
              <w:rPr>
                <w:b w:val="0"/>
                <w:sz w:val="17"/>
              </w:rPr>
              <w:t>HSM sealing, least-privilege, purpose checks `[NFR-PQ-2]`</w:t>
            </w:r>
          </w:p>
        </w:tc>
      </w:tr>
    </w:tbl>
    <w:p/>
    <w:p>
      <w:pPr>
        <w:pStyle w:val="Heading2"/>
      </w:pPr>
      <w:r>
        <w:t>11.2 Identity &amp; access management</w:t>
      </w:r>
    </w:p>
    <w:p>
      <w:r>
        <w:rPr>
          <w:sz w:val="21"/>
        </w:rPr>
        <w:t xml:space="preserve">Self-contained OIDC IdP; users, groups, roles, markings, purposes. PQ-signed tokens; optional federation. </w:t>
      </w:r>
      <w:r>
        <w:rPr>
          <w:rFonts w:ascii="Consolas" w:hAnsi="Consolas"/>
          <w:color w:val="0B4884"/>
          <w:sz w:val="18"/>
        </w:rPr>
        <w:t>[NFR-SEC-2]</w:t>
      </w:r>
      <w:r>
        <w:rPr>
          <w:sz w:val="21"/>
        </w:rPr>
        <w:t xml:space="preserve"> </w:t>
      </w:r>
      <w:r>
        <w:rPr>
          <w:rFonts w:ascii="Consolas" w:hAnsi="Consolas"/>
          <w:color w:val="0B4884"/>
          <w:sz w:val="18"/>
        </w:rPr>
        <w:t>[STD:NIST AC-2/IA-2]</w:t>
      </w:r>
      <w:r>
        <w:rPr>
          <w:sz w:val="21"/>
        </w:rPr>
      </w:r>
    </w:p>
    <w:p>
      <w:pPr>
        <w:pStyle w:val="Heading2"/>
      </w:pPr>
      <w:r>
        <w:t>11.3 Authentication mechanisms</w:t>
      </w:r>
    </w:p>
    <w:p>
      <w:r>
        <w:rPr>
          <w:sz w:val="21"/>
        </w:rPr>
        <w:t xml:space="preserve">Password auth uses Argon2id; MFA via WebAuthn/passkeys and TOTP; service auth uses ML-DSA-signed workload identities. </w:t>
      </w:r>
      <w:r>
        <w:rPr>
          <w:rFonts w:ascii="Consolas" w:hAnsi="Consolas"/>
          <w:color w:val="0B4884"/>
          <w:sz w:val="18"/>
        </w:rPr>
        <w:t>[STD:OWASP ASVS V2]</w:t>
      </w:r>
      <w:r>
        <w:rPr>
          <w:sz w:val="21"/>
        </w:rPr>
        <w:t xml:space="preserve"> </w:t>
      </w:r>
      <w:r>
        <w:rPr>
          <w:rFonts w:ascii="Consolas" w:hAnsi="Consolas"/>
          <w:color w:val="0B4884"/>
          <w:sz w:val="18"/>
        </w:rPr>
        <w:t>[NFR-PQ-3]</w:t>
      </w:r>
      <w:r>
        <w:rPr>
          <w:sz w:val="21"/>
        </w:rPr>
      </w:r>
    </w:p>
    <w:p>
      <w:pPr>
        <w:pStyle w:val="Heading2"/>
      </w:pPr>
      <w:r>
        <w:t>11.4 Authorisation model</w:t>
      </w:r>
    </w:p>
    <w:p>
      <w:r>
        <w:rPr>
          <w:sz w:val="21"/>
        </w:rPr>
        <w:t xml:space="preserve">Role-, marking-, and purpose-based access control evaluated at query and action time by the policy point; deny-by-default. </w:t>
      </w:r>
      <w:r>
        <w:rPr>
          <w:rFonts w:ascii="Consolas" w:hAnsi="Consolas"/>
          <w:color w:val="0B4884"/>
          <w:sz w:val="18"/>
        </w:rPr>
        <w:t>[NFR-SEC-2]</w:t>
      </w:r>
      <w:r>
        <w:rPr>
          <w:sz w:val="21"/>
        </w:rPr>
        <w:t xml:space="preserve"> </w:t>
      </w:r>
      <w:r>
        <w:rPr>
          <w:rFonts w:ascii="Consolas" w:hAnsi="Consolas"/>
          <w:color w:val="0B4884"/>
          <w:sz w:val="18"/>
        </w:rPr>
        <w:t>[STD:NIST AC-3/AC-16]</w:t>
      </w:r>
      <w:r>
        <w:rPr>
          <w:sz w:val="21"/>
        </w:rPr>
      </w:r>
    </w:p>
    <w:p>
      <w:pPr>
        <w:pStyle w:val="Heading2"/>
      </w:pPr>
      <w:r>
        <w:t>11.5 Cryptography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Use</w:t>
            </w:r>
          </w:p>
        </w:tc>
        <w:tc>
          <w:tcPr>
            <w:tcW w:type="dxa" w:w="3264"/>
            <w:shd w:val="clear" w:fill="0B4884"/>
            <w:tcMar>
              <w:top w:w="60" w:type="dxa"/>
              <w:bottom w:w="60" w:type="dxa"/>
              <w:start w:w="90" w:type="dxa"/>
              <w:end w:w="90" w:type="dxa"/>
            </w:tcMar>
          </w:tcPr>
          <w:p>
            <w:r>
              <w:rPr>
                <w:b/>
                <w:color w:val="FFFFFF"/>
                <w:sz w:val="18"/>
              </w:rPr>
              <w:t>Primitive</w:t>
            </w:r>
          </w:p>
        </w:tc>
        <w:tc>
          <w:tcPr>
            <w:tcW w:type="dxa" w:w="3264"/>
            <w:shd w:val="clear" w:fill="0B4884"/>
            <w:tcMar>
              <w:top w:w="60" w:type="dxa"/>
              <w:bottom w:w="60" w:type="dxa"/>
              <w:start w:w="90" w:type="dxa"/>
              <w:end w:w="90" w:type="dxa"/>
            </w:tcMar>
          </w:tcPr>
          <w:p>
            <w:r>
              <w:rPr>
                <w:b/>
                <w:color w:val="FFFFFF"/>
                <w:sz w:val="18"/>
              </w:rPr>
              <w:t>Standard</w:t>
            </w:r>
          </w:p>
        </w:tc>
      </w:tr>
      <w:tr>
        <w:tc>
          <w:tcPr>
            <w:tcW w:type="dxa" w:w="3264"/>
            <w:tcMar>
              <w:top w:w="60" w:type="dxa"/>
              <w:bottom w:w="60" w:type="dxa"/>
              <w:start w:w="90" w:type="dxa"/>
              <w:end w:w="90" w:type="dxa"/>
            </w:tcMar>
            <w:shd w:val="clear" w:fill="FFFFFF"/>
          </w:tcPr>
          <w:p>
            <w:r>
              <w:rPr>
                <w:b w:val="0"/>
                <w:sz w:val="17"/>
              </w:rPr>
              <w:t>Key agreement (transit)</w:t>
            </w:r>
          </w:p>
        </w:tc>
        <w:tc>
          <w:tcPr>
            <w:tcW w:type="dxa" w:w="3264"/>
            <w:tcMar>
              <w:top w:w="60" w:type="dxa"/>
              <w:bottom w:w="60" w:type="dxa"/>
              <w:start w:w="90" w:type="dxa"/>
              <w:end w:w="90" w:type="dxa"/>
            </w:tcMar>
            <w:shd w:val="clear" w:fill="FFFFFF"/>
          </w:tcPr>
          <w:p>
            <w:r>
              <w:rPr>
                <w:b w:val="0"/>
                <w:sz w:val="17"/>
              </w:rPr>
              <w:t>X25519 + ML-KEM-768 (hybrid)</w:t>
            </w:r>
          </w:p>
        </w:tc>
        <w:tc>
          <w:tcPr>
            <w:tcW w:type="dxa" w:w="3264"/>
            <w:tcMar>
              <w:top w:w="60" w:type="dxa"/>
              <w:bottom w:w="60" w:type="dxa"/>
              <w:start w:w="90" w:type="dxa"/>
              <w:end w:w="90" w:type="dxa"/>
            </w:tcMar>
            <w:shd w:val="clear" w:fill="FFFFFF"/>
          </w:tcPr>
          <w:p>
            <w:r>
              <w:rPr>
                <w:b w:val="0"/>
                <w:sz w:val="17"/>
              </w:rPr>
              <w:t>FIPS 203 `[NFR-PQ-1]`</w:t>
            </w:r>
          </w:p>
        </w:tc>
      </w:tr>
      <w:tr>
        <w:tc>
          <w:tcPr>
            <w:tcW w:type="dxa" w:w="3264"/>
            <w:tcMar>
              <w:top w:w="60" w:type="dxa"/>
              <w:bottom w:w="60" w:type="dxa"/>
              <w:start w:w="90" w:type="dxa"/>
              <w:end w:w="90" w:type="dxa"/>
            </w:tcMar>
            <w:shd w:val="clear" w:fill="EEF3F8"/>
          </w:tcPr>
          <w:p>
            <w:r>
              <w:rPr>
                <w:b w:val="0"/>
                <w:sz w:val="17"/>
              </w:rPr>
              <w:t>Bulk at rest</w:t>
            </w:r>
          </w:p>
        </w:tc>
        <w:tc>
          <w:tcPr>
            <w:tcW w:type="dxa" w:w="3264"/>
            <w:tcMar>
              <w:top w:w="60" w:type="dxa"/>
              <w:bottom w:w="60" w:type="dxa"/>
              <w:start w:w="90" w:type="dxa"/>
              <w:end w:w="90" w:type="dxa"/>
            </w:tcMar>
            <w:shd w:val="clear" w:fill="EEF3F8"/>
          </w:tcPr>
          <w:p>
            <w:r>
              <w:rPr>
                <w:b w:val="0"/>
                <w:sz w:val="17"/>
              </w:rPr>
              <w:t>AES-256-GCM, keys wrapped ML-KEM-1024</w:t>
            </w:r>
          </w:p>
        </w:tc>
        <w:tc>
          <w:tcPr>
            <w:tcW w:type="dxa" w:w="3264"/>
            <w:tcMar>
              <w:top w:w="60" w:type="dxa"/>
              <w:bottom w:w="60" w:type="dxa"/>
              <w:start w:w="90" w:type="dxa"/>
              <w:end w:w="90" w:type="dxa"/>
            </w:tcMar>
            <w:shd w:val="clear" w:fill="EEF3F8"/>
          </w:tcPr>
          <w:p>
            <w:r>
              <w:rPr>
                <w:b w:val="0"/>
                <w:sz w:val="17"/>
              </w:rPr>
              <w:t>FIPS 197 / 203 `[NFR-PQ-2]`</w:t>
            </w:r>
          </w:p>
        </w:tc>
      </w:tr>
      <w:tr>
        <w:tc>
          <w:tcPr>
            <w:tcW w:type="dxa" w:w="3264"/>
            <w:tcMar>
              <w:top w:w="60" w:type="dxa"/>
              <w:bottom w:w="60" w:type="dxa"/>
              <w:start w:w="90" w:type="dxa"/>
              <w:end w:w="90" w:type="dxa"/>
            </w:tcMar>
            <w:shd w:val="clear" w:fill="FFFFFF"/>
          </w:tcPr>
          <w:p>
            <w:r>
              <w:rPr>
                <w:b w:val="0"/>
                <w:sz w:val="17"/>
              </w:rPr>
              <w:t>Signatures</w:t>
            </w:r>
          </w:p>
        </w:tc>
        <w:tc>
          <w:tcPr>
            <w:tcW w:type="dxa" w:w="3264"/>
            <w:tcMar>
              <w:top w:w="60" w:type="dxa"/>
              <w:bottom w:w="60" w:type="dxa"/>
              <w:start w:w="90" w:type="dxa"/>
              <w:end w:w="90" w:type="dxa"/>
            </w:tcMar>
            <w:shd w:val="clear" w:fill="FFFFFF"/>
          </w:tcPr>
          <w:p>
            <w:r>
              <w:rPr>
                <w:b w:val="0"/>
                <w:sz w:val="17"/>
              </w:rPr>
              <w:t>ML-DSA (Dilithium) / SLH-DSA (SPHINCS+)</w:t>
            </w:r>
          </w:p>
        </w:tc>
        <w:tc>
          <w:tcPr>
            <w:tcW w:type="dxa" w:w="3264"/>
            <w:tcMar>
              <w:top w:w="60" w:type="dxa"/>
              <w:bottom w:w="60" w:type="dxa"/>
              <w:start w:w="90" w:type="dxa"/>
              <w:end w:w="90" w:type="dxa"/>
            </w:tcMar>
            <w:shd w:val="clear" w:fill="FFFFFF"/>
          </w:tcPr>
          <w:p>
            <w:r>
              <w:rPr>
                <w:b w:val="0"/>
                <w:sz w:val="17"/>
              </w:rPr>
              <w:t>FIPS 204 / 205 `[NFR-PQ-3]`</w:t>
            </w:r>
          </w:p>
        </w:tc>
      </w:tr>
      <w:tr>
        <w:tc>
          <w:tcPr>
            <w:tcW w:type="dxa" w:w="3264"/>
            <w:tcMar>
              <w:top w:w="60" w:type="dxa"/>
              <w:bottom w:w="60" w:type="dxa"/>
              <w:start w:w="90" w:type="dxa"/>
              <w:end w:w="90" w:type="dxa"/>
            </w:tcMar>
            <w:shd w:val="clear" w:fill="EEF3F8"/>
          </w:tcPr>
          <w:p>
            <w:r>
              <w:rPr>
                <w:b w:val="0"/>
                <w:sz w:val="17"/>
              </w:rPr>
              <w:t>Password hashing</w:t>
            </w:r>
          </w:p>
        </w:tc>
        <w:tc>
          <w:tcPr>
            <w:tcW w:type="dxa" w:w="3264"/>
            <w:tcMar>
              <w:top w:w="60" w:type="dxa"/>
              <w:bottom w:w="60" w:type="dxa"/>
              <w:start w:w="90" w:type="dxa"/>
              <w:end w:w="90" w:type="dxa"/>
            </w:tcMar>
            <w:shd w:val="clear" w:fill="EEF3F8"/>
          </w:tcPr>
          <w:p>
            <w:r>
              <w:rPr>
                <w:b w:val="0"/>
                <w:sz w:val="17"/>
              </w:rPr>
              <w:t>Argon2id</w:t>
            </w:r>
          </w:p>
        </w:tc>
        <w:tc>
          <w:tcPr>
            <w:tcW w:type="dxa" w:w="3264"/>
            <w:tcMar>
              <w:top w:w="60" w:type="dxa"/>
              <w:bottom w:w="60" w:type="dxa"/>
              <w:start w:w="90" w:type="dxa"/>
              <w:end w:w="90" w:type="dxa"/>
            </w:tcMar>
            <w:shd w:val="clear" w:fill="EEF3F8"/>
          </w:tcPr>
          <w:p>
            <w:r>
              <w:rPr>
                <w:b w:val="0"/>
                <w:sz w:val="17"/>
              </w:rPr>
              <w:t>OWASP ASVS V2</w:t>
            </w:r>
          </w:p>
        </w:tc>
      </w:tr>
      <w:tr>
        <w:tc>
          <w:tcPr>
            <w:tcW w:type="dxa" w:w="3264"/>
            <w:tcMar>
              <w:top w:w="60" w:type="dxa"/>
              <w:bottom w:w="60" w:type="dxa"/>
              <w:start w:w="90" w:type="dxa"/>
              <w:end w:w="90" w:type="dxa"/>
            </w:tcMar>
            <w:shd w:val="clear" w:fill="FFFFFF"/>
          </w:tcPr>
          <w:p>
            <w:r>
              <w:rPr>
                <w:b w:val="0"/>
                <w:sz w:val="17"/>
              </w:rPr>
              <w:t>Agility</w:t>
            </w:r>
          </w:p>
        </w:tc>
        <w:tc>
          <w:tcPr>
            <w:tcW w:type="dxa" w:w="3264"/>
            <w:tcMar>
              <w:top w:w="60" w:type="dxa"/>
              <w:bottom w:w="60" w:type="dxa"/>
              <w:start w:w="90" w:type="dxa"/>
              <w:end w:w="90" w:type="dxa"/>
            </w:tcMar>
            <w:shd w:val="clear" w:fill="FFFFFF"/>
          </w:tcPr>
          <w:p>
            <w:r>
              <w:rPr>
                <w:b w:val="0"/>
                <w:sz w:val="17"/>
              </w:rPr>
              <w:t>Negotiated, versioned, hot-swappable</w:t>
            </w:r>
          </w:p>
        </w:tc>
        <w:tc>
          <w:tcPr>
            <w:tcW w:type="dxa" w:w="3264"/>
            <w:tcMar>
              <w:top w:w="60" w:type="dxa"/>
              <w:bottom w:w="60" w:type="dxa"/>
              <w:start w:w="90" w:type="dxa"/>
              <w:end w:w="90" w:type="dxa"/>
            </w:tcMar>
            <w:shd w:val="clear" w:fill="FFFFFF"/>
          </w:tcPr>
          <w:p>
            <w:r>
              <w:rPr>
                <w:b w:val="0"/>
                <w:sz w:val="17"/>
              </w:rPr>
              <w:t>NIST SP 1800-38 `[NFR-PQ-4]`</w:t>
            </w:r>
          </w:p>
        </w:tc>
      </w:tr>
    </w:tbl>
    <w:p/>
    <w:p>
      <w:pPr>
        <w:pStyle w:val="Heading2"/>
      </w:pPr>
      <w:r>
        <w:t>11.6 Secrets management</w:t>
      </w:r>
    </w:p>
    <w:p>
      <w:r>
        <w:rPr>
          <w:sz w:val="21"/>
        </w:rPr>
        <w:t xml:space="preserve">No secrets in source or images; all secrets issued at runtime by the KMS and sealed to HSM/TPM; short-lived, rotated, PQ-wrapped. </w:t>
      </w:r>
      <w:r>
        <w:rPr>
          <w:rFonts w:ascii="Consolas" w:hAnsi="Consolas"/>
          <w:color w:val="0B4884"/>
          <w:sz w:val="18"/>
        </w:rPr>
        <w:t>[STD:OWASP ASVS V14.3]</w:t>
      </w:r>
      <w:r>
        <w:rPr>
          <w:sz w:val="21"/>
        </w:rPr>
      </w:r>
    </w:p>
    <w:p>
      <w:pPr>
        <w:pStyle w:val="Heading2"/>
      </w:pPr>
      <w:r>
        <w:t>11.7 Input validation &amp; output encoding</w:t>
      </w:r>
    </w:p>
    <w:p>
      <w:r>
        <w:rPr>
          <w:sz w:val="21"/>
        </w:rPr>
        <w:t xml:space="preserve">Typed value-types and schema validators constrain all writes at the fabric boundary; parameterised queries only; output encoding at every rendering surface. </w:t>
      </w:r>
      <w:r>
        <w:rPr>
          <w:rFonts w:ascii="Consolas" w:hAnsi="Consolas"/>
          <w:color w:val="0B4884"/>
          <w:sz w:val="18"/>
        </w:rPr>
        <w:t>[STD:OWASP ASVS V5]</w:t>
      </w:r>
      <w:r>
        <w:rPr>
          <w:sz w:val="21"/>
        </w:rPr>
      </w:r>
    </w:p>
    <w:p>
      <w:pPr>
        <w:pStyle w:val="Heading2"/>
      </w:pPr>
      <w:r>
        <w:t>11.8 Dependency security</w:t>
      </w:r>
    </w:p>
    <w:p>
      <w:r>
        <w:rPr>
          <w:sz w:val="21"/>
        </w:rPr>
        <w:t xml:space="preserve">Reproducible builds; lockfiles; automated dependency and CVE scanning in CI; CycloneDX SBOM per release. </w:t>
      </w:r>
      <w:r>
        <w:rPr>
          <w:rFonts w:ascii="Consolas" w:hAnsi="Consolas"/>
          <w:color w:val="0B4884"/>
          <w:sz w:val="18"/>
        </w:rPr>
        <w:t>[NFR-OSS-1]</w:t>
      </w:r>
      <w:r>
        <w:rPr>
          <w:sz w:val="21"/>
        </w:rPr>
        <w:t xml:space="preserve"> </w:t>
      </w:r>
      <w:r>
        <w:rPr>
          <w:rFonts w:ascii="Consolas" w:hAnsi="Consolas"/>
          <w:color w:val="0B4884"/>
          <w:sz w:val="18"/>
        </w:rPr>
        <w:t>[STD:OWASP ASVS V14.2]</w:t>
      </w:r>
      <w:r>
        <w:rPr>
          <w:sz w:val="21"/>
        </w:rPr>
      </w:r>
    </w:p>
    <w:p>
      <w:pPr>
        <w:pStyle w:val="Heading2"/>
      </w:pPr>
      <w:r>
        <w:t>11.9 Transport &amp; network security</w:t>
      </w:r>
    </w:p>
    <w:p>
      <w:r>
        <w:rPr>
          <w:sz w:val="21"/>
        </w:rPr>
        <w:t xml:space="preserve">TLS 1.3 hybrid-PQ only; default-deny network policy; egress-deny; HSTS on all HTTP surfaces. </w:t>
      </w:r>
      <w:r>
        <w:rPr>
          <w:rFonts w:ascii="Consolas" w:hAnsi="Consolas"/>
          <w:color w:val="0B4884"/>
          <w:sz w:val="18"/>
        </w:rPr>
        <w:t>[NFR-SEC-1]</w:t>
      </w:r>
      <w:r>
        <w:rPr>
          <w:sz w:val="21"/>
        </w:rPr>
      </w:r>
    </w:p>
    <w:p>
      <w:pPr>
        <w:pStyle w:val="Heading2"/>
      </w:pPr>
      <w:r>
        <w:t>11.10 Logging, audit, monitoring</w:t>
      </w:r>
    </w:p>
    <w:p>
      <w:r>
        <w:rPr>
          <w:sz w:val="21"/>
        </w:rPr>
        <w:t xml:space="preserve">Immutable, PQ-signed audit lineage for every operation; structured logs; metrics and traces exported to the in-enclosure observability stack. </w:t>
      </w:r>
      <w:r>
        <w:rPr>
          <w:rFonts w:ascii="Consolas" w:hAnsi="Consolas"/>
          <w:color w:val="0B4884"/>
          <w:sz w:val="18"/>
        </w:rPr>
        <w:t>[NFR-AI-1]</w:t>
      </w:r>
      <w:r>
        <w:rPr>
          <w:sz w:val="21"/>
        </w:rPr>
      </w:r>
    </w:p>
    <w:p>
      <w:pPr>
        <w:pStyle w:val="Heading2"/>
      </w:pPr>
      <w:r>
        <w:t>11.11 Compliance posture</w:t>
      </w:r>
    </w:p>
    <w:p>
      <w:r>
        <w:rPr>
          <w:sz w:val="21"/>
        </w:rPr>
        <w:t xml:space="preserve">The architecture is designed to support ISO/IEC 27001:2022, NIST SP 800-53 Rev.5, and OWASP ASVS 4.0 controls. No compliance certification is asserted; this is a design-intent mapping only. </w:t>
      </w:r>
      <w:r>
        <w:rPr>
          <w:rFonts w:ascii="Consolas" w:hAnsi="Consolas"/>
          <w:color w:val="0B4884"/>
          <w:sz w:val="18"/>
        </w:rPr>
        <w:t>[DD-8]</w:t>
      </w:r>
      <w:r>
        <w:rPr>
          <w:sz w:val="21"/>
        </w:rPr>
      </w:r>
    </w:p>
    <w:p>
      <w:pPr>
        <w:pStyle w:val="Heading2"/>
      </w:pPr>
      <w:r>
        <w:t>11.12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PQ hardware acceleration not yet ubiquitous</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Provide software fallback + offload where HSM supports PQ.</w:t>
            </w:r>
          </w:p>
        </w:tc>
      </w:tr>
      <w:tr>
        <w:tc>
          <w:tcPr>
            <w:tcW w:type="dxa" w:w="3264"/>
            <w:tcMar>
              <w:top w:w="60" w:type="dxa"/>
              <w:bottom w:w="60" w:type="dxa"/>
              <w:start w:w="90" w:type="dxa"/>
              <w:end w:w="90" w:type="dxa"/>
            </w:tcMar>
            <w:shd w:val="clear" w:fill="EEF3F8"/>
          </w:tcPr>
          <w:p>
            <w:r>
              <w:rPr>
                <w:b w:val="0"/>
                <w:sz w:val="17"/>
              </w:rPr>
              <w:t>Model-weight provenance for GLM 5.2</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Distribute signed weights via Bifrost; verify ML-DSA signature on load.</w:t>
            </w:r>
          </w:p>
        </w:tc>
      </w:tr>
      <w:tr>
        <w:tc>
          <w:tcPr>
            <w:tcW w:type="dxa" w:w="3264"/>
            <w:tcMar>
              <w:top w:w="60" w:type="dxa"/>
              <w:bottom w:w="60" w:type="dxa"/>
              <w:start w:w="90" w:type="dxa"/>
              <w:end w:w="90" w:type="dxa"/>
            </w:tcMar>
            <w:shd w:val="clear" w:fill="FFFFFF"/>
          </w:tcPr>
          <w:p>
            <w:r>
              <w:rPr>
                <w:b w:val="0"/>
                <w:sz w:val="17"/>
              </w:rPr>
              <w:t>Air-gap update workflow</w:t>
            </w:r>
          </w:p>
        </w:tc>
        <w:tc>
          <w:tcPr>
            <w:tcW w:type="dxa" w:w="3264"/>
            <w:tcMar>
              <w:top w:w="60" w:type="dxa"/>
              <w:bottom w:w="60" w:type="dxa"/>
              <w:start w:w="90" w:type="dxa"/>
              <w:end w:w="90" w:type="dxa"/>
            </w:tcMar>
            <w:shd w:val="clear" w:fill="FFFFFF"/>
          </w:tcPr>
          <w:p>
            <w:r>
              <w:rPr>
                <w:b w:val="0"/>
                <w:sz w:val="17"/>
              </w:rPr>
              <w:t>Low</w:t>
            </w:r>
          </w:p>
        </w:tc>
        <w:tc>
          <w:tcPr>
            <w:tcW w:type="dxa" w:w="3264"/>
            <w:tcMar>
              <w:top w:w="60" w:type="dxa"/>
              <w:bottom w:w="60" w:type="dxa"/>
              <w:start w:w="90" w:type="dxa"/>
              <w:end w:w="90" w:type="dxa"/>
            </w:tcMar>
            <w:shd w:val="clear" w:fill="FFFFFF"/>
          </w:tcPr>
          <w:p>
            <w:r>
              <w:rPr>
                <w:b w:val="0"/>
                <w:sz w:val="17"/>
              </w:rPr>
              <w:t>Define signed offline update bundles.</w:t>
            </w:r>
          </w:p>
        </w:tc>
      </w:tr>
    </w:tbl>
    <w:p/>
    <w:p>
      <w:pPr>
        <w:pStyle w:val="Heading1"/>
      </w:pPr>
      <w:r>
        <w:t>12. Observability</w:t>
      </w:r>
    </w:p>
    <w:p>
      <w:pPr>
        <w:pStyle w:val="ListBullet"/>
      </w:pPr>
      <w:r>
        <w:rPr>
          <w:sz w:val="21"/>
        </w:rPr>
      </w:r>
      <w:r>
        <w:rPr>
          <w:b/>
          <w:sz w:val="21"/>
        </w:rPr>
        <w:t>Logging:</w:t>
      </w:r>
      <w:r>
        <w:rPr>
          <w:sz w:val="21"/>
        </w:rPr>
        <w:t xml:space="preserve"> structured, correlation-ID-tagged, in-enclosure aggregation. </w:t>
      </w:r>
      <w:r>
        <w:rPr>
          <w:rFonts w:ascii="Consolas" w:hAnsi="Consolas"/>
          <w:color w:val="0B4884"/>
          <w:sz w:val="18"/>
        </w:rPr>
        <w:t>[NFR-AI-1]</w:t>
      </w:r>
      <w:r>
        <w:rPr>
          <w:sz w:val="21"/>
        </w:rPr>
      </w:r>
    </w:p>
    <w:p>
      <w:pPr>
        <w:pStyle w:val="ListBullet"/>
      </w:pPr>
      <w:r>
        <w:rPr>
          <w:sz w:val="21"/>
        </w:rPr>
      </w:r>
      <w:r>
        <w:rPr>
          <w:b/>
          <w:sz w:val="21"/>
        </w:rPr>
        <w:t>Metrics:</w:t>
      </w:r>
      <w:r>
        <w:rPr>
          <w:sz w:val="21"/>
        </w:rPr>
        <w:t xml:space="preserve"> control-plane and inference metrics; SLO dashboards for the 99.9% target. </w:t>
      </w:r>
      <w:r>
        <w:rPr>
          <w:rFonts w:ascii="Consolas" w:hAnsi="Consolas"/>
          <w:color w:val="0B4884"/>
          <w:sz w:val="18"/>
        </w:rPr>
        <w:t>[NFR-AVA-1]</w:t>
      </w:r>
      <w:r>
        <w:rPr>
          <w:sz w:val="21"/>
        </w:rPr>
      </w:r>
    </w:p>
    <w:p>
      <w:pPr>
        <w:pStyle w:val="ListBullet"/>
      </w:pPr>
      <w:r>
        <w:rPr>
          <w:sz w:val="21"/>
        </w:rPr>
      </w:r>
      <w:r>
        <w:rPr>
          <w:b/>
          <w:sz w:val="21"/>
        </w:rPr>
        <w:t>Tracing:</w:t>
      </w:r>
      <w:r>
        <w:rPr>
          <w:sz w:val="21"/>
        </w:rPr>
        <w:t xml:space="preserve"> distributed traces across the mesh for request and action paths.</w:t>
      </w:r>
    </w:p>
    <w:p>
      <w:pPr>
        <w:pStyle w:val="ListBullet"/>
      </w:pPr>
      <w:r>
        <w:rPr>
          <w:sz w:val="21"/>
        </w:rPr>
      </w:r>
      <w:r>
        <w:rPr>
          <w:b/>
          <w:sz w:val="21"/>
        </w:rPr>
        <w:t>Error reporting:</w:t>
      </w:r>
      <w:r>
        <w:rPr>
          <w:sz w:val="21"/>
        </w:rPr>
        <w:t xml:space="preserve"> in-enclosure sink; no external telemetry by default. </w:t>
      </w:r>
      <w:r>
        <w:rPr>
          <w:rFonts w:ascii="Consolas" w:hAnsi="Consolas"/>
          <w:color w:val="0B4884"/>
          <w:sz w:val="18"/>
        </w:rPr>
        <w:t>[NFR-PRV-1]</w:t>
      </w:r>
      <w:r>
        <w:rPr>
          <w:sz w:val="21"/>
        </w:rPr>
      </w:r>
    </w:p>
    <w:p>
      <w:pPr>
        <w:pStyle w:val="Heading1"/>
      </w:pPr>
      <w:r>
        <w:t>13. Operational Concerns</w:t>
      </w:r>
    </w:p>
    <w:p>
      <w:pPr>
        <w:pStyle w:val="ListBullet"/>
      </w:pPr>
      <w:r>
        <w:rPr>
          <w:sz w:val="21"/>
        </w:rPr>
      </w:r>
      <w:r>
        <w:rPr>
          <w:b/>
          <w:sz w:val="21"/>
        </w:rPr>
        <w:t>Backup &amp; recovery:</w:t>
      </w:r>
      <w:r>
        <w:rPr>
          <w:sz w:val="21"/>
        </w:rPr>
        <w:t xml:space="preserve"> encrypted snapshots of object/metadata/audit stores; tested restore. </w:t>
      </w:r>
      <w:r>
        <w:rPr>
          <w:rFonts w:ascii="Consolas" w:hAnsi="Consolas"/>
          <w:color w:val="0B4884"/>
          <w:sz w:val="18"/>
        </w:rPr>
        <w:t>[NFR-PQ-2]</w:t>
      </w:r>
      <w:r>
        <w:rPr>
          <w:sz w:val="21"/>
        </w:rPr>
      </w:r>
    </w:p>
    <w:p>
      <w:pPr>
        <w:pStyle w:val="ListBullet"/>
      </w:pPr>
      <w:r>
        <w:rPr>
          <w:sz w:val="21"/>
        </w:rPr>
      </w:r>
      <w:r>
        <w:rPr>
          <w:b/>
          <w:sz w:val="21"/>
        </w:rPr>
        <w:t>DR posture:</w:t>
      </w:r>
      <w:r>
        <w:rPr>
          <w:sz w:val="21"/>
        </w:rPr>
        <w:t xml:space="preserve"> HA within a site; cross-site replication optional and PQ-encrypted.</w:t>
      </w:r>
    </w:p>
    <w:p>
      <w:pPr>
        <w:pStyle w:val="ListBullet"/>
      </w:pPr>
      <w:r>
        <w:rPr>
          <w:sz w:val="21"/>
        </w:rPr>
      </w:r>
      <w:r>
        <w:rPr>
          <w:b/>
          <w:sz w:val="21"/>
        </w:rPr>
        <w:t>Performance:</w:t>
      </w:r>
      <w:r>
        <w:rPr>
          <w:sz w:val="21"/>
        </w:rPr>
        <w:t xml:space="preserve"> first-token inference target &lt; 800 ms on reference hardware. </w:t>
      </w:r>
      <w:r>
        <w:rPr>
          <w:rFonts w:ascii="Consolas" w:hAnsi="Consolas"/>
          <w:color w:val="0B4884"/>
          <w:sz w:val="18"/>
        </w:rPr>
        <w:t>[NFR-PERF-1]</w:t>
      </w:r>
      <w:r>
        <w:rPr>
          <w:sz w:val="21"/>
        </w:rPr>
      </w:r>
    </w:p>
    <w:p>
      <w:pPr>
        <w:pStyle w:val="ListBullet"/>
      </w:pPr>
      <w:r>
        <w:rPr>
          <w:sz w:val="21"/>
        </w:rPr>
      </w:r>
      <w:r>
        <w:rPr>
          <w:b/>
          <w:sz w:val="21"/>
        </w:rPr>
        <w:t>Scalability:</w:t>
      </w:r>
      <w:r>
        <w:rPr>
          <w:sz w:val="21"/>
        </w:rPr>
        <w:t xml:space="preserve"> horizontal scale of fabric query nodes and compute mesh. </w:t>
      </w:r>
      <w:r>
        <w:rPr>
          <w:rFonts w:ascii="Consolas" w:hAnsi="Consolas"/>
          <w:color w:val="0B4884"/>
          <w:sz w:val="18"/>
        </w:rPr>
        <w:t>[NFR-AVA-1]</w:t>
      </w:r>
      <w:r>
        <w:rPr>
          <w:sz w:val="21"/>
        </w:rPr>
      </w:r>
    </w:p>
    <w:p>
      <w:pPr>
        <w:pStyle w:val="Heading1"/>
      </w:pPr>
      <w:r>
        <w:t>14. Quality &amp; Testing</w:t>
      </w:r>
    </w:p>
    <w:p>
      <w:pPr>
        <w:pStyle w:val="ListBullet"/>
      </w:pPr>
      <w:r>
        <w:rPr>
          <w:sz w:val="21"/>
        </w:rPr>
        <w:t xml:space="preserve">Contract tests for every inter-product interface (ensures standalone + composable operation). </w:t>
      </w:r>
      <w:r>
        <w:rPr>
          <w:rFonts w:ascii="Consolas" w:hAnsi="Consolas"/>
          <w:color w:val="0B4884"/>
          <w:sz w:val="18"/>
        </w:rPr>
        <w:t>[DD-6]</w:t>
      </w:r>
      <w:r>
        <w:rPr>
          <w:sz w:val="21"/>
        </w:rPr>
      </w:r>
    </w:p>
    <w:p>
      <w:pPr>
        <w:pStyle w:val="ListBullet"/>
      </w:pPr>
      <w:r>
        <w:rPr>
          <w:sz w:val="21"/>
        </w:rPr>
        <w:t xml:space="preserve">Cryptographic test vectors validated against FIPS 203/204/205 known-answer tests. </w:t>
      </w:r>
      <w:r>
        <w:rPr>
          <w:rFonts w:ascii="Consolas" w:hAnsi="Consolas"/>
          <w:color w:val="0B4884"/>
          <w:sz w:val="18"/>
        </w:rPr>
        <w:t>[NFR-PQ-4]</w:t>
      </w:r>
      <w:r>
        <w:rPr>
          <w:sz w:val="21"/>
        </w:rPr>
      </w:r>
    </w:p>
    <w:p>
      <w:pPr>
        <w:pStyle w:val="ListBullet"/>
      </w:pPr>
      <w:r>
        <w:rPr>
          <w:sz w:val="21"/>
        </w:rPr>
        <w:t xml:space="preserve">Policy-enforcement tests (role/marking/purpose) as executable specifications. </w:t>
      </w:r>
      <w:r>
        <w:rPr>
          <w:rFonts w:ascii="Consolas" w:hAnsi="Consolas"/>
          <w:color w:val="0B4884"/>
          <w:sz w:val="18"/>
        </w:rPr>
        <w:t>[NFR-SEC-2]</w:t>
      </w:r>
      <w:r>
        <w:rPr>
          <w:sz w:val="21"/>
        </w:rPr>
      </w:r>
    </w:p>
    <w:p>
      <w:pPr>
        <w:pStyle w:val="ListBullet"/>
      </w:pPr>
      <w:r>
        <w:rPr>
          <w:sz w:val="21"/>
        </w:rPr>
        <w:t xml:space="preserve">Chaos and upgrade tests to prove zero-downtime rolling upgrades. </w:t>
      </w:r>
      <w:r>
        <w:rPr>
          <w:rFonts w:ascii="Consolas" w:hAnsi="Consolas"/>
          <w:color w:val="0B4884"/>
          <w:sz w:val="18"/>
        </w:rPr>
        <w:t>[NFR-AVA-1]</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PQ performance overhead</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Session resumption, hybrid negotiation, hardware offload. `[NFR-PQ-4]`</w:t>
            </w:r>
          </w:p>
        </w:tc>
      </w:tr>
      <w:tr>
        <w:tc>
          <w:tcPr>
            <w:tcW w:type="dxa" w:w="3264"/>
            <w:tcMar>
              <w:top w:w="60" w:type="dxa"/>
              <w:bottom w:w="60" w:type="dxa"/>
              <w:start w:w="90" w:type="dxa"/>
              <w:end w:w="90" w:type="dxa"/>
            </w:tcMar>
            <w:shd w:val="clear" w:fill="EEF3F8"/>
          </w:tcPr>
          <w:p>
            <w:r>
              <w:rPr>
                <w:b w:val="0"/>
                <w:sz w:val="17"/>
              </w:rPr>
              <w:t>Ontology sprawl</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Shared properties, interfaces, governed change management. `[DD-1]`</w:t>
            </w:r>
          </w:p>
        </w:tc>
      </w:tr>
      <w:tr>
        <w:tc>
          <w:tcPr>
            <w:tcW w:type="dxa" w:w="3264"/>
            <w:tcMar>
              <w:top w:w="60" w:type="dxa"/>
              <w:bottom w:w="60" w:type="dxa"/>
              <w:start w:w="90" w:type="dxa"/>
              <w:end w:w="90" w:type="dxa"/>
            </w:tcMar>
            <w:shd w:val="clear" w:fill="FFFFFF"/>
          </w:tcPr>
          <w:p>
            <w:r>
              <w:rPr>
                <w:b w:val="0"/>
                <w:sz w:val="17"/>
              </w:rPr>
              <w:t>Single model plane as shared dependency</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Mimir HA + graceful degradation for products that can run without AI. `[DD-6]`</w:t>
            </w:r>
          </w:p>
        </w:tc>
      </w:tr>
      <w:tr>
        <w:tc>
          <w:tcPr>
            <w:tcW w:type="dxa" w:w="3264"/>
            <w:tcMar>
              <w:top w:w="60" w:type="dxa"/>
              <w:bottom w:w="60" w:type="dxa"/>
              <w:start w:w="90" w:type="dxa"/>
              <w:end w:w="90" w:type="dxa"/>
            </w:tcMar>
            <w:shd w:val="clear" w:fill="EEF3F8"/>
          </w:tcPr>
          <w:p>
            <w:r>
              <w:rPr>
                <w:b w:val="0"/>
                <w:sz w:val="17"/>
              </w:rPr>
              <w:t>Open-core / commercial boundary drift</w:t>
            </w:r>
          </w:p>
        </w:tc>
        <w:tc>
          <w:tcPr>
            <w:tcW w:type="dxa" w:w="3264"/>
            <w:tcMar>
              <w:top w:w="60" w:type="dxa"/>
              <w:bottom w:w="60" w:type="dxa"/>
              <w:start w:w="90" w:type="dxa"/>
              <w:end w:w="90" w:type="dxa"/>
            </w:tcMar>
            <w:shd w:val="clear" w:fill="EEF3F8"/>
          </w:tcPr>
          <w:p>
            <w:r>
              <w:rPr>
                <w:b w:val="0"/>
                <w:sz w:val="17"/>
              </w:rPr>
              <w:t>Low</w:t>
            </w:r>
          </w:p>
        </w:tc>
        <w:tc>
          <w:tcPr>
            <w:tcW w:type="dxa" w:w="3264"/>
            <w:tcMar>
              <w:top w:w="60" w:type="dxa"/>
              <w:bottom w:w="60" w:type="dxa"/>
              <w:start w:w="90" w:type="dxa"/>
              <w:end w:w="90" w:type="dxa"/>
            </w:tcMar>
            <w:shd w:val="clear" w:fill="EEF3F8"/>
          </w:tcPr>
          <w:p>
            <w:r>
              <w:rPr>
                <w:b w:val="0"/>
                <w:sz w:val="17"/>
              </w:rPr>
              <w:t>Clear module licensing and SBOM discipline. `[DD-2]`</w:t>
            </w:r>
          </w:p>
        </w:tc>
      </w:tr>
    </w:tbl>
    <w:p/>
    <w:p>
      <w:pPr>
        <w:pStyle w:val="Heading1"/>
      </w:pPr>
      <w:r>
        <w:t>16. Roadmap &amp; Recommendations</w:t>
      </w:r>
    </w:p>
    <w:p>
      <w:pPr>
        <w:pStyle w:val="ListNumber"/>
      </w:pPr>
      <w:r>
        <w:rPr>
          <w:sz w:val="21"/>
        </w:rPr>
        <w:t xml:space="preserve">Deliver Midgard core (identity, fabric, KMS, governance) as the first milestone — every product depends on it. </w:t>
      </w:r>
      <w:r>
        <w:rPr>
          <w:rFonts w:ascii="Consolas" w:hAnsi="Consolas"/>
          <w:color w:val="0B4884"/>
          <w:sz w:val="18"/>
        </w:rPr>
        <w:t>[DD-6]</w:t>
      </w:r>
      <w:r>
        <w:rPr>
          <w:sz w:val="21"/>
        </w:rPr>
      </w:r>
    </w:p>
    <w:p>
      <w:pPr>
        <w:pStyle w:val="ListNumber"/>
      </w:pPr>
      <w:r>
        <w:rPr>
          <w:sz w:val="21"/>
        </w:rPr>
        <w:t xml:space="preserve">Stand up Mimir second — it is a shared dependency for Forge, Bifrost, and Heimdall. </w:t>
      </w:r>
      <w:r>
        <w:rPr>
          <w:rFonts w:ascii="Consolas" w:hAnsi="Consolas"/>
          <w:color w:val="0B4884"/>
          <w:sz w:val="18"/>
        </w:rPr>
        <w:t>[DD-4]</w:t>
      </w:r>
      <w:r>
        <w:rPr>
          <w:sz w:val="21"/>
        </w:rPr>
      </w:r>
    </w:p>
    <w:p>
      <w:pPr>
        <w:pStyle w:val="ListNumber"/>
      </w:pPr>
      <w:r>
        <w:rPr>
          <w:sz w:val="21"/>
        </w:rPr>
        <w:t xml:space="preserve">Certify the PQ crypto substrate against FIPS known-answer tests before any GA. </w:t>
      </w:r>
      <w:r>
        <w:rPr>
          <w:rFonts w:ascii="Consolas" w:hAnsi="Consolas"/>
          <w:color w:val="0B4884"/>
          <w:sz w:val="18"/>
        </w:rPr>
        <w:t>[NFR-PQ-4]</w:t>
      </w:r>
      <w:r>
        <w:rPr>
          <w:sz w:val="21"/>
        </w:rPr>
      </w:r>
    </w:p>
    <w:p>
      <w:pPr>
        <w:pStyle w:val="ListNumber"/>
      </w:pPr>
      <w:r>
        <w:rPr>
          <w:sz w:val="21"/>
        </w:rPr>
        <w:t xml:space="preserve">Publish the open-source core with reproducible builds and SBOM from day one. </w:t>
      </w:r>
      <w:r>
        <w:rPr>
          <w:rFonts w:ascii="Consolas" w:hAnsi="Consolas"/>
          <w:color w:val="0B4884"/>
          <w:sz w:val="18"/>
        </w:rPr>
        <w:t>[DD-2]</w:t>
      </w:r>
      <w:r>
        <w:rPr>
          <w:sz w:val="21"/>
        </w:rPr>
      </w:r>
    </w:p>
    <w:p>
      <w:pPr>
        <w:pStyle w:val="Heading1"/>
      </w:pPr>
      <w:r>
        <w:t>17. Acceptance Criteria</w:t>
      </w:r>
    </w:p>
    <w:p>
      <w:r>
        <w:rPr>
          <w:sz w:val="21"/>
        </w:rPr>
        <w:t>Acceptance is expressed as verifiable, testable statements. Each must pass before Midgard core is considered GA-ready.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AC-M-1</w:t>
            </w:r>
          </w:p>
        </w:tc>
        <w:tc>
          <w:tcPr>
            <w:tcW w:type="dxa" w:w="3264"/>
            <w:tcMar>
              <w:top w:w="60" w:type="dxa"/>
              <w:bottom w:w="60" w:type="dxa"/>
              <w:start w:w="90" w:type="dxa"/>
              <w:end w:w="90" w:type="dxa"/>
            </w:tcMar>
            <w:shd w:val="clear" w:fill="FFFFFF"/>
          </w:tcPr>
          <w:p>
            <w:r>
              <w:rPr>
                <w:b w:val="0"/>
                <w:sz w:val="17"/>
              </w:rPr>
              <w:t>Given a new session, when a client connects, then the handshake negotiates hybrid X25519+ML-KEM-768 and fails closed if PQ is unavailable.</w:t>
            </w:r>
          </w:p>
        </w:tc>
        <w:tc>
          <w:tcPr>
            <w:tcW w:type="dxa" w:w="3264"/>
            <w:tcMar>
              <w:top w:w="60" w:type="dxa"/>
              <w:bottom w:w="60" w:type="dxa"/>
              <w:start w:w="90" w:type="dxa"/>
              <w:end w:w="90" w:type="dxa"/>
            </w:tcMar>
            <w:shd w:val="clear" w:fill="FFFFFF"/>
          </w:tcPr>
          <w:p>
            <w:r>
              <w:rPr>
                <w:b w:val="0"/>
                <w:sz w:val="17"/>
              </w:rPr>
              <w:t>`[NFR-PQ-1]`</w:t>
            </w:r>
          </w:p>
        </w:tc>
      </w:tr>
      <w:tr>
        <w:tc>
          <w:tcPr>
            <w:tcW w:type="dxa" w:w="3264"/>
            <w:tcMar>
              <w:top w:w="60" w:type="dxa"/>
              <w:bottom w:w="60" w:type="dxa"/>
              <w:start w:w="90" w:type="dxa"/>
              <w:end w:w="90" w:type="dxa"/>
            </w:tcMar>
            <w:shd w:val="clear" w:fill="EEF3F8"/>
          </w:tcPr>
          <w:p>
            <w:r>
              <w:rPr>
                <w:b w:val="0"/>
                <w:sz w:val="17"/>
              </w:rPr>
              <w:t>AC-M-2</w:t>
            </w:r>
          </w:p>
        </w:tc>
        <w:tc>
          <w:tcPr>
            <w:tcW w:type="dxa" w:w="3264"/>
            <w:tcMar>
              <w:top w:w="60" w:type="dxa"/>
              <w:bottom w:w="60" w:type="dxa"/>
              <w:start w:w="90" w:type="dxa"/>
              <w:end w:w="90" w:type="dxa"/>
            </w:tcMar>
            <w:shd w:val="clear" w:fill="EEF3F8"/>
          </w:tcPr>
          <w:p>
            <w:r>
              <w:rPr>
                <w:b w:val="0"/>
                <w:sz w:val="17"/>
              </w:rPr>
              <w:t>Given data at rest, when written, then it is AES-256-GCM encrypted under an ML-KEM-1024-wrapped key sealed to the trust root.</w:t>
            </w:r>
          </w:p>
        </w:tc>
        <w:tc>
          <w:tcPr>
            <w:tcW w:type="dxa" w:w="3264"/>
            <w:tcMar>
              <w:top w:w="60" w:type="dxa"/>
              <w:bottom w:w="60" w:type="dxa"/>
              <w:start w:w="90" w:type="dxa"/>
              <w:end w:w="90" w:type="dxa"/>
            </w:tcMar>
            <w:shd w:val="clear" w:fill="EEF3F8"/>
          </w:tcPr>
          <w:p>
            <w:r>
              <w:rPr>
                <w:b w:val="0"/>
                <w:sz w:val="17"/>
              </w:rPr>
              <w:t>`[NFR-PQ-2]`</w:t>
            </w:r>
          </w:p>
        </w:tc>
      </w:tr>
      <w:tr>
        <w:tc>
          <w:tcPr>
            <w:tcW w:type="dxa" w:w="3264"/>
            <w:tcMar>
              <w:top w:w="60" w:type="dxa"/>
              <w:bottom w:w="60" w:type="dxa"/>
              <w:start w:w="90" w:type="dxa"/>
              <w:end w:w="90" w:type="dxa"/>
            </w:tcMar>
            <w:shd w:val="clear" w:fill="FFFFFF"/>
          </w:tcPr>
          <w:p>
            <w:r>
              <w:rPr>
                <w:b w:val="0"/>
                <w:sz w:val="17"/>
              </w:rPr>
              <w:t>AC-M-3</w:t>
            </w:r>
          </w:p>
        </w:tc>
        <w:tc>
          <w:tcPr>
            <w:tcW w:type="dxa" w:w="3264"/>
            <w:tcMar>
              <w:top w:w="60" w:type="dxa"/>
              <w:bottom w:w="60" w:type="dxa"/>
              <w:start w:w="90" w:type="dxa"/>
              <w:end w:w="90" w:type="dxa"/>
            </w:tcMar>
            <w:shd w:val="clear" w:fill="FFFFFF"/>
          </w:tcPr>
          <w:p>
            <w:r>
              <w:rPr>
                <w:b w:val="0"/>
                <w:sz w:val="17"/>
              </w:rPr>
              <w:t>Given any service call, when made, then it is mutually authenticated and authorised on identity, posture, and purpose; unauthenticated calls are denied.</w:t>
            </w:r>
          </w:p>
        </w:tc>
        <w:tc>
          <w:tcPr>
            <w:tcW w:type="dxa" w:w="3264"/>
            <w:tcMar>
              <w:top w:w="60" w:type="dxa"/>
              <w:bottom w:w="60" w:type="dxa"/>
              <w:start w:w="90" w:type="dxa"/>
              <w:end w:w="90" w:type="dxa"/>
            </w:tcMar>
            <w:shd w:val="clear" w:fill="FFFFFF"/>
          </w:tcPr>
          <w:p>
            <w:r>
              <w:rPr>
                <w:b w:val="0"/>
                <w:sz w:val="17"/>
              </w:rPr>
              <w:t>`[NFR-SEC-1]`</w:t>
            </w:r>
          </w:p>
        </w:tc>
      </w:tr>
      <w:tr>
        <w:tc>
          <w:tcPr>
            <w:tcW w:type="dxa" w:w="3264"/>
            <w:tcMar>
              <w:top w:w="60" w:type="dxa"/>
              <w:bottom w:w="60" w:type="dxa"/>
              <w:start w:w="90" w:type="dxa"/>
              <w:end w:w="90" w:type="dxa"/>
            </w:tcMar>
            <w:shd w:val="clear" w:fill="EEF3F8"/>
          </w:tcPr>
          <w:p>
            <w:r>
              <w:rPr>
                <w:b w:val="0"/>
                <w:sz w:val="17"/>
              </w:rPr>
              <w:t>AC-M-4</w:t>
            </w:r>
          </w:p>
        </w:tc>
        <w:tc>
          <w:tcPr>
            <w:tcW w:type="dxa" w:w="3264"/>
            <w:tcMar>
              <w:top w:w="60" w:type="dxa"/>
              <w:bottom w:w="60" w:type="dxa"/>
              <w:start w:w="90" w:type="dxa"/>
              <w:end w:w="90" w:type="dxa"/>
            </w:tcMar>
            <w:shd w:val="clear" w:fill="EEF3F8"/>
          </w:tcPr>
          <w:p>
            <w:r>
              <w:rPr>
                <w:b w:val="0"/>
                <w:sz w:val="17"/>
              </w:rPr>
              <w:t>Given a query touching marked data, when executed, then role/marking/purpose policy is enforced and the decision is audited with a PQ signature.</w:t>
            </w:r>
          </w:p>
        </w:tc>
        <w:tc>
          <w:tcPr>
            <w:tcW w:type="dxa" w:w="3264"/>
            <w:tcMar>
              <w:top w:w="60" w:type="dxa"/>
              <w:bottom w:w="60" w:type="dxa"/>
              <w:start w:w="90" w:type="dxa"/>
              <w:end w:w="90" w:type="dxa"/>
            </w:tcMar>
            <w:shd w:val="clear" w:fill="EEF3F8"/>
          </w:tcPr>
          <w:p>
            <w:r>
              <w:rPr>
                <w:b w:val="0"/>
                <w:sz w:val="17"/>
              </w:rPr>
              <w:t>`[NFR-SEC-2]`</w:t>
            </w:r>
          </w:p>
        </w:tc>
      </w:tr>
      <w:tr>
        <w:tc>
          <w:tcPr>
            <w:tcW w:type="dxa" w:w="3264"/>
            <w:tcMar>
              <w:top w:w="60" w:type="dxa"/>
              <w:bottom w:w="60" w:type="dxa"/>
              <w:start w:w="90" w:type="dxa"/>
              <w:end w:w="90" w:type="dxa"/>
            </w:tcMar>
            <w:shd w:val="clear" w:fill="FFFFFF"/>
          </w:tcPr>
          <w:p>
            <w:r>
              <w:rPr>
                <w:b w:val="0"/>
                <w:sz w:val="17"/>
              </w:rPr>
              <w:t>AC-M-5</w:t>
            </w:r>
          </w:p>
        </w:tc>
        <w:tc>
          <w:tcPr>
            <w:tcW w:type="dxa" w:w="3264"/>
            <w:tcMar>
              <w:top w:w="60" w:type="dxa"/>
              <w:bottom w:w="60" w:type="dxa"/>
              <w:start w:w="90" w:type="dxa"/>
              <w:end w:w="90" w:type="dxa"/>
            </w:tcMar>
            <w:shd w:val="clear" w:fill="FFFFFF"/>
          </w:tcPr>
          <w:p>
            <w:r>
              <w:rPr>
                <w:b w:val="0"/>
                <w:sz w:val="17"/>
              </w:rPr>
              <w:t>Given no outbound connectivity, when all core functions are exercised, then every function succeeds (full air-gap).</w:t>
            </w:r>
          </w:p>
        </w:tc>
        <w:tc>
          <w:tcPr>
            <w:tcW w:type="dxa" w:w="3264"/>
            <w:tcMar>
              <w:top w:w="60" w:type="dxa"/>
              <w:bottom w:w="60" w:type="dxa"/>
              <w:start w:w="90" w:type="dxa"/>
              <w:end w:w="90" w:type="dxa"/>
            </w:tcMar>
            <w:shd w:val="clear" w:fill="FFFFFF"/>
          </w:tcPr>
          <w:p>
            <w:r>
              <w:rPr>
                <w:b w:val="0"/>
                <w:sz w:val="17"/>
              </w:rPr>
              <w:t>`[NFR-PRV-1]`</w:t>
            </w:r>
          </w:p>
        </w:tc>
      </w:tr>
      <w:tr>
        <w:tc>
          <w:tcPr>
            <w:tcW w:type="dxa" w:w="3264"/>
            <w:tcMar>
              <w:top w:w="60" w:type="dxa"/>
              <w:bottom w:w="60" w:type="dxa"/>
              <w:start w:w="90" w:type="dxa"/>
              <w:end w:w="90" w:type="dxa"/>
            </w:tcMar>
            <w:shd w:val="clear" w:fill="EEF3F8"/>
          </w:tcPr>
          <w:p>
            <w:r>
              <w:rPr>
                <w:b w:val="0"/>
                <w:sz w:val="17"/>
              </w:rPr>
              <w:t>AC-M-6</w:t>
            </w:r>
          </w:p>
        </w:tc>
        <w:tc>
          <w:tcPr>
            <w:tcW w:type="dxa" w:w="3264"/>
            <w:tcMar>
              <w:top w:w="60" w:type="dxa"/>
              <w:bottom w:w="60" w:type="dxa"/>
              <w:start w:w="90" w:type="dxa"/>
              <w:end w:w="90" w:type="dxa"/>
            </w:tcMar>
            <w:shd w:val="clear" w:fill="EEF3F8"/>
          </w:tcPr>
          <w:p>
            <w:r>
              <w:rPr>
                <w:b w:val="0"/>
                <w:sz w:val="17"/>
              </w:rPr>
              <w:t>Given a release, when built twice from source, then artefacts are bit-identical and a CycloneDX SBOM is emitted.</w:t>
            </w:r>
          </w:p>
        </w:tc>
        <w:tc>
          <w:tcPr>
            <w:tcW w:type="dxa" w:w="3264"/>
            <w:tcMar>
              <w:top w:w="60" w:type="dxa"/>
              <w:bottom w:w="60" w:type="dxa"/>
              <w:start w:w="90" w:type="dxa"/>
              <w:end w:w="90" w:type="dxa"/>
            </w:tcMar>
            <w:shd w:val="clear" w:fill="EEF3F8"/>
          </w:tcPr>
          <w:p>
            <w:r>
              <w:rPr>
                <w:b w:val="0"/>
                <w:sz w:val="17"/>
              </w:rPr>
              <w:t>`[NFR-OSS-1]`</w:t>
            </w:r>
          </w:p>
        </w:tc>
      </w:tr>
      <w:tr>
        <w:tc>
          <w:tcPr>
            <w:tcW w:type="dxa" w:w="3264"/>
            <w:tcMar>
              <w:top w:w="60" w:type="dxa"/>
              <w:bottom w:w="60" w:type="dxa"/>
              <w:start w:w="90" w:type="dxa"/>
              <w:end w:w="90" w:type="dxa"/>
            </w:tcMar>
            <w:shd w:val="clear" w:fill="FFFFFF"/>
          </w:tcPr>
          <w:p>
            <w:r>
              <w:rPr>
                <w:b w:val="0"/>
                <w:sz w:val="17"/>
              </w:rPr>
              <w:t>AC-M-7</w:t>
            </w:r>
          </w:p>
        </w:tc>
        <w:tc>
          <w:tcPr>
            <w:tcW w:type="dxa" w:w="3264"/>
            <w:tcMar>
              <w:top w:w="60" w:type="dxa"/>
              <w:bottom w:w="60" w:type="dxa"/>
              <w:start w:w="90" w:type="dxa"/>
              <w:end w:w="90" w:type="dxa"/>
            </w:tcMar>
            <w:shd w:val="clear" w:fill="FFFFFF"/>
          </w:tcPr>
          <w:p>
            <w:r>
              <w:rPr>
                <w:b w:val="0"/>
                <w:sz w:val="17"/>
              </w:rPr>
              <w:t>Given a running cluster, when a rolling upgrade is applied, then no request fails and rollback triggers automatically on health-check failure.</w:t>
            </w:r>
          </w:p>
        </w:tc>
        <w:tc>
          <w:tcPr>
            <w:tcW w:type="dxa" w:w="3264"/>
            <w:tcMar>
              <w:top w:w="60" w:type="dxa"/>
              <w:bottom w:w="60" w:type="dxa"/>
              <w:start w:w="90" w:type="dxa"/>
              <w:end w:w="90" w:type="dxa"/>
            </w:tcMar>
            <w:shd w:val="clear" w:fill="FFFFFF"/>
          </w:tcPr>
          <w:p>
            <w:r>
              <w:rPr>
                <w:b w:val="0"/>
                <w:sz w:val="17"/>
              </w:rPr>
              <w:t>`[NFR-AVA-1]`</w:t>
            </w:r>
          </w:p>
        </w:tc>
      </w:tr>
      <w:tr>
        <w:tc>
          <w:tcPr>
            <w:tcW w:type="dxa" w:w="3264"/>
            <w:tcMar>
              <w:top w:w="60" w:type="dxa"/>
              <w:bottom w:w="60" w:type="dxa"/>
              <w:start w:w="90" w:type="dxa"/>
              <w:end w:w="90" w:type="dxa"/>
            </w:tcMar>
            <w:shd w:val="clear" w:fill="EEF3F8"/>
          </w:tcPr>
          <w:p>
            <w:r>
              <w:rPr>
                <w:b w:val="0"/>
                <w:sz w:val="17"/>
              </w:rPr>
              <w:t>AC-M-8</w:t>
            </w:r>
          </w:p>
        </w:tc>
        <w:tc>
          <w:tcPr>
            <w:tcW w:type="dxa" w:w="3264"/>
            <w:tcMar>
              <w:top w:w="60" w:type="dxa"/>
              <w:bottom w:w="60" w:type="dxa"/>
              <w:start w:w="90" w:type="dxa"/>
              <w:end w:w="90" w:type="dxa"/>
            </w:tcMar>
            <w:shd w:val="clear" w:fill="EEF3F8"/>
          </w:tcPr>
          <w:p>
            <w:r>
              <w:rPr>
                <w:b w:val="0"/>
                <w:sz w:val="17"/>
              </w:rPr>
              <w:t>Given the algorithm registry, when a new PQ algorithm is enabled, then it is negotiated without data migration (crypto-agility).</w:t>
            </w:r>
          </w:p>
        </w:tc>
        <w:tc>
          <w:tcPr>
            <w:tcW w:type="dxa" w:w="3264"/>
            <w:tcMar>
              <w:top w:w="60" w:type="dxa"/>
              <w:bottom w:w="60" w:type="dxa"/>
              <w:start w:w="90" w:type="dxa"/>
              <w:end w:w="90" w:type="dxa"/>
            </w:tcMar>
            <w:shd w:val="clear" w:fill="EEF3F8"/>
          </w:tcPr>
          <w:p>
            <w:r>
              <w:rPr>
                <w:b w:val="0"/>
                <w:sz w:val="17"/>
              </w:rPr>
              <w:t>`[NFR-PQ-4]`</w:t>
            </w:r>
          </w:p>
        </w:tc>
      </w:tr>
      <w:tr>
        <w:tc>
          <w:tcPr>
            <w:tcW w:type="dxa" w:w="3264"/>
            <w:tcMar>
              <w:top w:w="60" w:type="dxa"/>
              <w:bottom w:w="60" w:type="dxa"/>
              <w:start w:w="90" w:type="dxa"/>
              <w:end w:w="90" w:type="dxa"/>
            </w:tcMar>
            <w:shd w:val="clear" w:fill="FFFFFF"/>
          </w:tcPr>
          <w:p>
            <w:r>
              <w:rPr>
                <w:b w:val="0"/>
                <w:sz w:val="17"/>
              </w:rPr>
              <w:t>AC-M-9</w:t>
            </w:r>
          </w:p>
        </w:tc>
        <w:tc>
          <w:tcPr>
            <w:tcW w:type="dxa" w:w="3264"/>
            <w:tcMar>
              <w:top w:w="60" w:type="dxa"/>
              <w:bottom w:w="60" w:type="dxa"/>
              <w:start w:w="90" w:type="dxa"/>
              <w:end w:w="90" w:type="dxa"/>
            </w:tcMar>
            <w:shd w:val="clear" w:fill="FFFFFF"/>
          </w:tcPr>
          <w:p>
            <w:r>
              <w:rPr>
                <w:b w:val="0"/>
                <w:sz w:val="17"/>
              </w:rPr>
              <w:t>Given any product installed standalone atop Midgard, when Mimir is absent, then the product operates in a defined degraded mode without error.</w:t>
            </w:r>
          </w:p>
        </w:tc>
        <w:tc>
          <w:tcPr>
            <w:tcW w:type="dxa" w:w="3264"/>
            <w:tcMar>
              <w:top w:w="60" w:type="dxa"/>
              <w:bottom w:w="60" w:type="dxa"/>
              <w:start w:w="90" w:type="dxa"/>
              <w:end w:w="90" w:type="dxa"/>
            </w:tcMar>
            <w:shd w:val="clear" w:fill="FFFFFF"/>
          </w:tcPr>
          <w:p>
            <w:r>
              <w:rPr>
                <w:b w:val="0"/>
                <w:sz w:val="17"/>
              </w:rPr>
              <w:t>`[DD-6]`</w:t>
            </w:r>
          </w:p>
        </w:tc>
      </w:tr>
    </w:tbl>
    <w:p/>
    <w:p>
      <w:pPr>
        <w:pStyle w:val="Heading1"/>
      </w:pPr>
      <w:r>
        <w:t>Appendix A — Design Driver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Driver</w:t>
            </w:r>
          </w:p>
        </w:tc>
        <w:tc>
          <w:tcPr>
            <w:tcW w:type="dxa" w:w="3264"/>
            <w:shd w:val="clear" w:fill="0B4884"/>
            <w:tcMar>
              <w:top w:w="60" w:type="dxa"/>
              <w:bottom w:w="60" w:type="dxa"/>
              <w:start w:w="90" w:type="dxa"/>
              <w:end w:w="90" w:type="dxa"/>
            </w:tcMar>
          </w:tcPr>
          <w:p>
            <w:r>
              <w:rPr>
                <w:b/>
                <w:color w:val="FFFFFF"/>
                <w:sz w:val="18"/>
              </w:rPr>
              <w:t>Statement</w:t>
            </w:r>
          </w:p>
        </w:tc>
      </w:tr>
      <w:tr>
        <w:tc>
          <w:tcPr>
            <w:tcW w:type="dxa" w:w="3264"/>
            <w:tcMar>
              <w:top w:w="60" w:type="dxa"/>
              <w:bottom w:w="60" w:type="dxa"/>
              <w:start w:w="90" w:type="dxa"/>
              <w:end w:w="90" w:type="dxa"/>
            </w:tcMar>
            <w:shd w:val="clear" w:fill="FFFFFF"/>
          </w:tcPr>
          <w:p>
            <w:r>
              <w:rPr>
                <w:b w:val="0"/>
                <w:sz w:val="17"/>
              </w:rPr>
              <w:t>DD-1</w:t>
            </w:r>
          </w:p>
        </w:tc>
        <w:tc>
          <w:tcPr>
            <w:tcW w:type="dxa" w:w="3264"/>
            <w:tcMar>
              <w:top w:w="60" w:type="dxa"/>
              <w:bottom w:w="60" w:type="dxa"/>
              <w:start w:w="90" w:type="dxa"/>
              <w:end w:w="90" w:type="dxa"/>
            </w:tcMar>
            <w:shd w:val="clear" w:fill="FFFFFF"/>
          </w:tcPr>
          <w:p>
            <w:r>
              <w:rPr>
                <w:b w:val="0"/>
                <w:sz w:val="17"/>
              </w:rPr>
              <w:t>Direct competitive parity-plus with Palantir</w:t>
            </w:r>
          </w:p>
        </w:tc>
        <w:tc>
          <w:tcPr>
            <w:tcW w:type="dxa" w:w="3264"/>
            <w:tcMar>
              <w:top w:w="60" w:type="dxa"/>
              <w:bottom w:w="60" w:type="dxa"/>
              <w:start w:w="90" w:type="dxa"/>
              <w:end w:w="90" w:type="dxa"/>
            </w:tcMar>
            <w:shd w:val="clear" w:fill="FFFFFF"/>
          </w:tcPr>
          <w:p>
            <w:r>
              <w:rPr>
                <w:b w:val="0"/>
                <w:sz w:val="17"/>
              </w:rPr>
              <w:t>Each product must be a direct and more capable competitor to its Palantir counterpart (Forge→Foundry, Mimir→AIP, Bifrost→Apollo, Heimdall→Maven), with improved design and usability.</w:t>
            </w:r>
          </w:p>
        </w:tc>
      </w:tr>
      <w:tr>
        <w:tc>
          <w:tcPr>
            <w:tcW w:type="dxa" w:w="3264"/>
            <w:tcMar>
              <w:top w:w="60" w:type="dxa"/>
              <w:bottom w:w="60" w:type="dxa"/>
              <w:start w:w="90" w:type="dxa"/>
              <w:end w:w="90" w:type="dxa"/>
            </w:tcMar>
            <w:shd w:val="clear" w:fill="EEF3F8"/>
          </w:tcPr>
          <w:p>
            <w:r>
              <w:rPr>
                <w:b w:val="0"/>
                <w:sz w:val="17"/>
              </w:rPr>
              <w:t>DD-2</w:t>
            </w:r>
          </w:p>
        </w:tc>
        <w:tc>
          <w:tcPr>
            <w:tcW w:type="dxa" w:w="3264"/>
            <w:tcMar>
              <w:top w:w="60" w:type="dxa"/>
              <w:bottom w:w="60" w:type="dxa"/>
              <w:start w:w="90" w:type="dxa"/>
              <w:end w:w="90" w:type="dxa"/>
            </w:tcMar>
            <w:shd w:val="clear" w:fill="EEF3F8"/>
          </w:tcPr>
          <w:p>
            <w:r>
              <w:rPr>
                <w:b w:val="0"/>
                <w:sz w:val="17"/>
              </w:rPr>
              <w:t>Open source</w:t>
            </w:r>
          </w:p>
        </w:tc>
        <w:tc>
          <w:tcPr>
            <w:tcW w:type="dxa" w:w="3264"/>
            <w:tcMar>
              <w:top w:w="60" w:type="dxa"/>
              <w:bottom w:w="60" w:type="dxa"/>
              <w:start w:w="90" w:type="dxa"/>
              <w:end w:w="90" w:type="dxa"/>
            </w:tcMar>
            <w:shd w:val="clear" w:fill="EEF3F8"/>
          </w:tcPr>
          <w:p>
            <w:r>
              <w:rPr>
                <w:b w:val="0"/>
                <w:sz w:val="17"/>
              </w:rPr>
              <w:t>The suite is open-source-first: the core of every product is released under an OSI-approved licence, with an optional commercial tier for advanced modules.</w:t>
            </w:r>
          </w:p>
        </w:tc>
      </w:tr>
      <w:tr>
        <w:tc>
          <w:tcPr>
            <w:tcW w:type="dxa" w:w="3264"/>
            <w:tcMar>
              <w:top w:w="60" w:type="dxa"/>
              <w:bottom w:w="60" w:type="dxa"/>
              <w:start w:w="90" w:type="dxa"/>
              <w:end w:w="90" w:type="dxa"/>
            </w:tcMar>
            <w:shd w:val="clear" w:fill="FFFFFF"/>
          </w:tcPr>
          <w:p>
            <w:r>
              <w:rPr>
                <w:b w:val="0"/>
                <w:sz w:val="17"/>
              </w:rPr>
              <w:t>DD-3</w:t>
            </w:r>
          </w:p>
        </w:tc>
        <w:tc>
          <w:tcPr>
            <w:tcW w:type="dxa" w:w="3264"/>
            <w:tcMar>
              <w:top w:w="60" w:type="dxa"/>
              <w:bottom w:w="60" w:type="dxa"/>
              <w:start w:w="90" w:type="dxa"/>
              <w:end w:w="90" w:type="dxa"/>
            </w:tcMar>
            <w:shd w:val="clear" w:fill="FFFFFF"/>
          </w:tcPr>
          <w:p>
            <w:r>
              <w:rPr>
                <w:b w:val="0"/>
                <w:sz w:val="17"/>
              </w:rPr>
              <w:t>Native post-quantum encryption</w:t>
            </w:r>
          </w:p>
        </w:tc>
        <w:tc>
          <w:tcPr>
            <w:tcW w:type="dxa" w:w="3264"/>
            <w:tcMar>
              <w:top w:w="60" w:type="dxa"/>
              <w:bottom w:w="60" w:type="dxa"/>
              <w:start w:w="90" w:type="dxa"/>
              <w:end w:w="90" w:type="dxa"/>
            </w:tcMar>
            <w:shd w:val="clear" w:fill="FFFFFF"/>
          </w:tcPr>
          <w:p>
            <w:r>
              <w:rPr>
                <w:b w:val="0"/>
                <w:sz w:val="17"/>
              </w:rPr>
              <w:t>Post-quantum cryptography is native and default across data-at-rest, data-in-transit, and inter-service authentication — not an add-on.</w:t>
            </w:r>
          </w:p>
        </w:tc>
      </w:tr>
      <w:tr>
        <w:tc>
          <w:tcPr>
            <w:tcW w:type="dxa" w:w="3264"/>
            <w:tcMar>
              <w:top w:w="60" w:type="dxa"/>
              <w:bottom w:w="60" w:type="dxa"/>
              <w:start w:w="90" w:type="dxa"/>
              <w:end w:w="90" w:type="dxa"/>
            </w:tcMar>
            <w:shd w:val="clear" w:fill="EEF3F8"/>
          </w:tcPr>
          <w:p>
            <w:r>
              <w:rPr>
                <w:b w:val="0"/>
                <w:sz w:val="17"/>
              </w:rPr>
              <w:t>DD-4</w:t>
            </w:r>
          </w:p>
        </w:tc>
        <w:tc>
          <w:tcPr>
            <w:tcW w:type="dxa" w:w="3264"/>
            <w:tcMar>
              <w:top w:w="60" w:type="dxa"/>
              <w:bottom w:w="60" w:type="dxa"/>
              <w:start w:w="90" w:type="dxa"/>
              <w:end w:w="90" w:type="dxa"/>
            </w:tcMar>
            <w:shd w:val="clear" w:fill="EEF3F8"/>
          </w:tcPr>
          <w:p>
            <w:r>
              <w:rPr>
                <w:b w:val="0"/>
                <w:sz w:val="17"/>
              </w:rPr>
              <w:t>Local AI processing via the Mimir layer</w:t>
            </w:r>
          </w:p>
        </w:tc>
        <w:tc>
          <w:tcPr>
            <w:tcW w:type="dxa" w:w="3264"/>
            <w:tcMar>
              <w:top w:w="60" w:type="dxa"/>
              <w:bottom w:w="60" w:type="dxa"/>
              <w:start w:w="90" w:type="dxa"/>
              <w:end w:w="90" w:type="dxa"/>
            </w:tcMar>
            <w:shd w:val="clear" w:fill="EEF3F8"/>
          </w:tcPr>
          <w:p>
            <w:r>
              <w:rPr>
                <w:b w:val="0"/>
                <w:sz w:val="17"/>
              </w:rPr>
              <w:t>Generative AI, reasoning, and inference are served locally by the Mimir layer (GLM 5.2 at its core). No product depends on a third-party hosted LLM to function.</w:t>
            </w:r>
          </w:p>
        </w:tc>
      </w:tr>
      <w:tr>
        <w:tc>
          <w:tcPr>
            <w:tcW w:type="dxa" w:w="3264"/>
            <w:tcMar>
              <w:top w:w="60" w:type="dxa"/>
              <w:bottom w:w="60" w:type="dxa"/>
              <w:start w:w="90" w:type="dxa"/>
              <w:end w:w="90" w:type="dxa"/>
            </w:tcMar>
            <w:shd w:val="clear" w:fill="FFFFFF"/>
          </w:tcPr>
          <w:p>
            <w:r>
              <w:rPr>
                <w:b w:val="0"/>
                <w:sz w:val="17"/>
              </w:rPr>
              <w:t>DD-5</w:t>
            </w:r>
          </w:p>
        </w:tc>
        <w:tc>
          <w:tcPr>
            <w:tcW w:type="dxa" w:w="3264"/>
            <w:tcMar>
              <w:top w:w="60" w:type="dxa"/>
              <w:bottom w:w="60" w:type="dxa"/>
              <w:start w:w="90" w:type="dxa"/>
              <w:end w:w="90" w:type="dxa"/>
            </w:tcMar>
            <w:shd w:val="clear" w:fill="FFFFFF"/>
          </w:tcPr>
          <w:p>
            <w:r>
              <w:rPr>
                <w:b w:val="0"/>
                <w:sz w:val="17"/>
              </w:rPr>
              <w:t>Agentic, self-* AI</w:t>
            </w:r>
          </w:p>
        </w:tc>
        <w:tc>
          <w:tcPr>
            <w:tcW w:type="dxa" w:w="3264"/>
            <w:tcMar>
              <w:top w:w="60" w:type="dxa"/>
              <w:bottom w:w="60" w:type="dxa"/>
              <w:start w:w="90" w:type="dxa"/>
              <w:end w:w="90" w:type="dxa"/>
            </w:tcMar>
            <w:shd w:val="clear" w:fill="FFFFFF"/>
          </w:tcPr>
          <w:p>
            <w:r>
              <w:rPr>
                <w:b w:val="0"/>
                <w:sz w:val="17"/>
              </w:rPr>
              <w:t>Mimir's AI is agentic and exhibits self-learning, self-healing, and self-defending behaviours, governed by an evaluation and guardrail framework.</w:t>
            </w:r>
          </w:p>
        </w:tc>
      </w:tr>
      <w:tr>
        <w:tc>
          <w:tcPr>
            <w:tcW w:type="dxa" w:w="3264"/>
            <w:tcMar>
              <w:top w:w="60" w:type="dxa"/>
              <w:bottom w:w="60" w:type="dxa"/>
              <w:start w:w="90" w:type="dxa"/>
              <w:end w:w="90" w:type="dxa"/>
            </w:tcMar>
            <w:shd w:val="clear" w:fill="EEF3F8"/>
          </w:tcPr>
          <w:p>
            <w:r>
              <w:rPr>
                <w:b w:val="0"/>
                <w:sz w:val="17"/>
              </w:rPr>
              <w:t>DD-6</w:t>
            </w:r>
          </w:p>
        </w:tc>
        <w:tc>
          <w:tcPr>
            <w:tcW w:type="dxa" w:w="3264"/>
            <w:tcMar>
              <w:top w:w="60" w:type="dxa"/>
              <w:bottom w:w="60" w:type="dxa"/>
              <w:start w:w="90" w:type="dxa"/>
              <w:end w:w="90" w:type="dxa"/>
            </w:tcMar>
            <w:shd w:val="clear" w:fill="EEF3F8"/>
          </w:tcPr>
          <w:p>
            <w:r>
              <w:rPr>
                <w:b w:val="0"/>
                <w:sz w:val="17"/>
              </w:rPr>
              <w:t>Independent yet composable</w:t>
            </w:r>
          </w:p>
        </w:tc>
        <w:tc>
          <w:tcPr>
            <w:tcW w:type="dxa" w:w="3264"/>
            <w:tcMar>
              <w:top w:w="60" w:type="dxa"/>
              <w:bottom w:w="60" w:type="dxa"/>
              <w:start w:w="90" w:type="dxa"/>
              <w:end w:w="90" w:type="dxa"/>
            </w:tcMar>
            <w:shd w:val="clear" w:fill="EEF3F8"/>
          </w:tcPr>
          <w:p>
            <w:r>
              <w:rPr>
                <w:b w:val="0"/>
                <w:sz w:val="17"/>
              </w:rPr>
              <w:t>Each product operates standalone atop Midgard (Midgard+Forge, Midgard+Mimir, Midgard+Bifrost, Midgard+Heimdall) and operates optimally when consumed together.</w:t>
            </w:r>
          </w:p>
        </w:tc>
      </w:tr>
      <w:tr>
        <w:tc>
          <w:tcPr>
            <w:tcW w:type="dxa" w:w="3264"/>
            <w:tcMar>
              <w:top w:w="60" w:type="dxa"/>
              <w:bottom w:w="60" w:type="dxa"/>
              <w:start w:w="90" w:type="dxa"/>
              <w:end w:w="90" w:type="dxa"/>
            </w:tcMar>
            <w:shd w:val="clear" w:fill="FFFFFF"/>
          </w:tcPr>
          <w:p>
            <w:r>
              <w:rPr>
                <w:b w:val="0"/>
                <w:sz w:val="17"/>
              </w:rPr>
              <w:t>DD-7</w:t>
            </w:r>
          </w:p>
        </w:tc>
        <w:tc>
          <w:tcPr>
            <w:tcW w:type="dxa" w:w="3264"/>
            <w:tcMar>
              <w:top w:w="60" w:type="dxa"/>
              <w:bottom w:w="60" w:type="dxa"/>
              <w:start w:w="90" w:type="dxa"/>
              <w:end w:w="90" w:type="dxa"/>
            </w:tcMar>
            <w:shd w:val="clear" w:fill="FFFFFF"/>
          </w:tcPr>
          <w:p>
            <w:r>
              <w:rPr>
                <w:b w:val="0"/>
                <w:sz w:val="17"/>
              </w:rPr>
              <w:t>Sovereignty and data control</w:t>
            </w:r>
          </w:p>
        </w:tc>
        <w:tc>
          <w:tcPr>
            <w:tcW w:type="dxa" w:w="3264"/>
            <w:tcMar>
              <w:top w:w="60" w:type="dxa"/>
              <w:bottom w:w="60" w:type="dxa"/>
              <w:start w:w="90" w:type="dxa"/>
              <w:end w:w="90" w:type="dxa"/>
            </w:tcMar>
            <w:shd w:val="clear" w:fill="FFFFFF"/>
          </w:tcPr>
          <w:p>
            <w:r>
              <w:rPr>
                <w:b w:val="0"/>
                <w:sz w:val="17"/>
              </w:rPr>
              <w:t>Users retain sovereign control of data and models; the architecture favours on-premises / self-hosted / air-gapped deployment (the 'Midgard enclosure').</w:t>
            </w:r>
          </w:p>
        </w:tc>
      </w:tr>
      <w:tr>
        <w:tc>
          <w:tcPr>
            <w:tcW w:type="dxa" w:w="3264"/>
            <w:tcMar>
              <w:top w:w="60" w:type="dxa"/>
              <w:bottom w:w="60" w:type="dxa"/>
              <w:start w:w="90" w:type="dxa"/>
              <w:end w:w="90" w:type="dxa"/>
            </w:tcMar>
            <w:shd w:val="clear" w:fill="EEF3F8"/>
          </w:tcPr>
          <w:p>
            <w:r>
              <w:rPr>
                <w:b w:val="0"/>
                <w:sz w:val="17"/>
              </w:rPr>
              <w:t>DD-8</w:t>
            </w:r>
          </w:p>
        </w:tc>
        <w:tc>
          <w:tcPr>
            <w:tcW w:type="dxa" w:w="3264"/>
            <w:tcMar>
              <w:top w:w="60" w:type="dxa"/>
              <w:bottom w:w="60" w:type="dxa"/>
              <w:start w:w="90" w:type="dxa"/>
              <w:end w:w="90" w:type="dxa"/>
            </w:tcMar>
            <w:shd w:val="clear" w:fill="EEF3F8"/>
          </w:tcPr>
          <w:p>
            <w:r>
              <w:rPr>
                <w:b w:val="0"/>
                <w:sz w:val="17"/>
              </w:rPr>
              <w:t>Standards-aligned assurance</w:t>
            </w:r>
          </w:p>
        </w:tc>
        <w:tc>
          <w:tcPr>
            <w:tcW w:type="dxa" w:w="3264"/>
            <w:tcMar>
              <w:top w:w="60" w:type="dxa"/>
              <w:bottom w:w="60" w:type="dxa"/>
              <w:start w:w="90" w:type="dxa"/>
              <w:end w:w="90" w:type="dxa"/>
            </w:tcMar>
            <w:shd w:val="clear" w:fill="EEF3F8"/>
          </w:tcPr>
          <w:p>
            <w:r>
              <w:rPr>
                <w:b w:val="0"/>
                <w:sz w:val="17"/>
              </w:rPr>
              <w:t>Structure follows arc42 + TOGAF ADM; security aligns to NIST SP 800-53 Rev.5, OWASP ASVS 4.0, ISO/IEC 27001:2022; component decomposition uses the C4 model.</w:t>
            </w:r>
          </w:p>
        </w:tc>
      </w:tr>
    </w:tbl>
    <w:p/>
    <w:p>
      <w:pPr>
        <w:pStyle w:val="Heading1"/>
      </w:pPr>
      <w:r>
        <w:t>Appendix B — Cross-cutting NFR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2448"/>
        <w:gridCol w:w="2448"/>
        <w:gridCol w:w="2448"/>
        <w:gridCol w:w="2448"/>
      </w:tblGrid>
      <w:tr>
        <w:tc>
          <w:tcPr>
            <w:tcW w:type="dxa" w:w="2448"/>
            <w:shd w:val="clear" w:fill="0B4884"/>
            <w:tcMar>
              <w:top w:w="60" w:type="dxa"/>
              <w:bottom w:w="60" w:type="dxa"/>
              <w:start w:w="90" w:type="dxa"/>
              <w:end w:w="90" w:type="dxa"/>
            </w:tcMar>
          </w:tcPr>
          <w:p>
            <w:r>
              <w:rPr>
                <w:b/>
                <w:color w:val="FFFFFF"/>
                <w:sz w:val="18"/>
              </w:rPr>
              <w:t>ID</w:t>
            </w:r>
          </w:p>
        </w:tc>
        <w:tc>
          <w:tcPr>
            <w:tcW w:type="dxa" w:w="2448"/>
            <w:shd w:val="clear" w:fill="0B4884"/>
            <w:tcMar>
              <w:top w:w="60" w:type="dxa"/>
              <w:bottom w:w="60" w:type="dxa"/>
              <w:start w:w="90" w:type="dxa"/>
              <w:end w:w="90" w:type="dxa"/>
            </w:tcMar>
          </w:tcPr>
          <w:p>
            <w:r>
              <w:rPr>
                <w:b/>
                <w:color w:val="FFFFFF"/>
                <w:sz w:val="18"/>
              </w:rPr>
              <w:t>Category</w:t>
            </w:r>
          </w:p>
        </w:tc>
        <w:tc>
          <w:tcPr>
            <w:tcW w:type="dxa" w:w="2448"/>
            <w:shd w:val="clear" w:fill="0B4884"/>
            <w:tcMar>
              <w:top w:w="60" w:type="dxa"/>
              <w:bottom w:w="60" w:type="dxa"/>
              <w:start w:w="90" w:type="dxa"/>
              <w:end w:w="90" w:type="dxa"/>
            </w:tcMar>
          </w:tcPr>
          <w:p>
            <w:r>
              <w:rPr>
                <w:b/>
                <w:color w:val="FFFFFF"/>
                <w:sz w:val="18"/>
              </w:rPr>
              <w:t>Requirement</w:t>
            </w:r>
          </w:p>
        </w:tc>
        <w:tc>
          <w:tcPr>
            <w:tcW w:type="dxa" w:w="2448"/>
            <w:shd w:val="clear" w:fill="0B4884"/>
            <w:tcMar>
              <w:top w:w="60" w:type="dxa"/>
              <w:bottom w:w="60" w:type="dxa"/>
              <w:start w:w="90" w:type="dxa"/>
              <w:end w:w="90" w:type="dxa"/>
            </w:tcMar>
          </w:tcPr>
          <w:p>
            <w:r>
              <w:rPr>
                <w:b/>
                <w:color w:val="FFFFFF"/>
                <w:sz w:val="18"/>
              </w:rPr>
              <w:t>Provenance</w:t>
            </w:r>
          </w:p>
        </w:tc>
      </w:tr>
      <w:tr>
        <w:tc>
          <w:tcPr>
            <w:tcW w:type="dxa" w:w="2448"/>
            <w:tcMar>
              <w:top w:w="60" w:type="dxa"/>
              <w:bottom w:w="60" w:type="dxa"/>
              <w:start w:w="90" w:type="dxa"/>
              <w:end w:w="90" w:type="dxa"/>
            </w:tcMar>
            <w:shd w:val="clear" w:fill="FFFFFF"/>
          </w:tcPr>
          <w:p>
            <w:r>
              <w:rPr>
                <w:b w:val="0"/>
                <w:sz w:val="17"/>
              </w:rPr>
              <w:t>NFR-PQ-1</w:t>
            </w:r>
          </w:p>
        </w:tc>
        <w:tc>
          <w:tcPr>
            <w:tcW w:type="dxa" w:w="2448"/>
            <w:tcMar>
              <w:top w:w="60" w:type="dxa"/>
              <w:bottom w:w="60" w:type="dxa"/>
              <w:start w:w="90" w:type="dxa"/>
              <w:end w:w="90" w:type="dxa"/>
            </w:tcMar>
            <w:shd w:val="clear" w:fill="FFFFFF"/>
          </w:tcPr>
          <w:p>
            <w:r>
              <w:rPr>
                <w:b w:val="0"/>
                <w:sz w:val="17"/>
              </w:rPr>
              <w:t>Cryptography</w:t>
            </w:r>
          </w:p>
        </w:tc>
        <w:tc>
          <w:tcPr>
            <w:tcW w:type="dxa" w:w="2448"/>
            <w:tcMar>
              <w:top w:w="60" w:type="dxa"/>
              <w:bottom w:w="60" w:type="dxa"/>
              <w:start w:w="90" w:type="dxa"/>
              <w:end w:w="90" w:type="dxa"/>
            </w:tcMar>
            <w:shd w:val="clear" w:fill="FFFFFF"/>
          </w:tcPr>
          <w:p>
            <w:r>
              <w:rPr>
                <w:b w:val="0"/>
                <w:sz w:val="17"/>
              </w:rPr>
              <w:t>All data-in-transit uses a hybrid TLS 1.3 handshake combining X25519 with ML-KEM-768 (Kyber) key agreement.</w:t>
            </w:r>
          </w:p>
        </w:tc>
        <w:tc>
          <w:tcPr>
            <w:tcW w:type="dxa" w:w="2448"/>
            <w:tcMar>
              <w:top w:w="60" w:type="dxa"/>
              <w:bottom w:w="60" w:type="dxa"/>
              <w:start w:w="90" w:type="dxa"/>
              <w:end w:w="90" w:type="dxa"/>
            </w:tcMar>
            <w:shd w:val="clear" w:fill="FFFFFF"/>
          </w:tcPr>
          <w:p>
            <w:r>
              <w:rPr>
                <w:b w:val="0"/>
                <w:sz w:val="17"/>
              </w:rPr>
              <w:t>STD:NIST FIPS 203</w:t>
            </w:r>
          </w:p>
        </w:tc>
      </w:tr>
      <w:tr>
        <w:tc>
          <w:tcPr>
            <w:tcW w:type="dxa" w:w="2448"/>
            <w:tcMar>
              <w:top w:w="60" w:type="dxa"/>
              <w:bottom w:w="60" w:type="dxa"/>
              <w:start w:w="90" w:type="dxa"/>
              <w:end w:w="90" w:type="dxa"/>
            </w:tcMar>
            <w:shd w:val="clear" w:fill="EEF3F8"/>
          </w:tcPr>
          <w:p>
            <w:r>
              <w:rPr>
                <w:b w:val="0"/>
                <w:sz w:val="17"/>
              </w:rPr>
              <w:t>NFR-PQ-2</w:t>
            </w:r>
          </w:p>
        </w:tc>
        <w:tc>
          <w:tcPr>
            <w:tcW w:type="dxa" w:w="2448"/>
            <w:tcMar>
              <w:top w:w="60" w:type="dxa"/>
              <w:bottom w:w="60" w:type="dxa"/>
              <w:start w:w="90" w:type="dxa"/>
              <w:end w:w="90" w:type="dxa"/>
            </w:tcMar>
            <w:shd w:val="clear" w:fill="EEF3F8"/>
          </w:tcPr>
          <w:p>
            <w:r>
              <w:rPr>
                <w:b w:val="0"/>
                <w:sz w:val="17"/>
              </w:rPr>
              <w:t>Cryptography</w:t>
            </w:r>
          </w:p>
        </w:tc>
        <w:tc>
          <w:tcPr>
            <w:tcW w:type="dxa" w:w="2448"/>
            <w:tcMar>
              <w:top w:w="60" w:type="dxa"/>
              <w:bottom w:w="60" w:type="dxa"/>
              <w:start w:w="90" w:type="dxa"/>
              <w:end w:w="90" w:type="dxa"/>
            </w:tcMar>
            <w:shd w:val="clear" w:fill="EEF3F8"/>
          </w:tcPr>
          <w:p>
            <w:r>
              <w:rPr>
                <w:b w:val="0"/>
                <w:sz w:val="17"/>
              </w:rPr>
              <w:t>All data-at-rest is encrypted with AES-256-GCM under keys wrapped by ML-KEM-1024; key material is sealed to an HSM/TPM where present.</w:t>
            </w:r>
          </w:p>
        </w:tc>
        <w:tc>
          <w:tcPr>
            <w:tcW w:type="dxa" w:w="2448"/>
            <w:tcMar>
              <w:top w:w="60" w:type="dxa"/>
              <w:bottom w:w="60" w:type="dxa"/>
              <w:start w:w="90" w:type="dxa"/>
              <w:end w:w="90" w:type="dxa"/>
            </w:tcMar>
            <w:shd w:val="clear" w:fill="EEF3F8"/>
          </w:tcPr>
          <w:p>
            <w:r>
              <w:rPr>
                <w:b w:val="0"/>
                <w:sz w:val="17"/>
              </w:rPr>
              <w:t>STD:NIST FIPS 203 / FIPS 197</w:t>
            </w:r>
          </w:p>
        </w:tc>
      </w:tr>
      <w:tr>
        <w:tc>
          <w:tcPr>
            <w:tcW w:type="dxa" w:w="2448"/>
            <w:tcMar>
              <w:top w:w="60" w:type="dxa"/>
              <w:bottom w:w="60" w:type="dxa"/>
              <w:start w:w="90" w:type="dxa"/>
              <w:end w:w="90" w:type="dxa"/>
            </w:tcMar>
            <w:shd w:val="clear" w:fill="FFFFFF"/>
          </w:tcPr>
          <w:p>
            <w:r>
              <w:rPr>
                <w:b w:val="0"/>
                <w:sz w:val="17"/>
              </w:rPr>
              <w:t>NFR-PQ-3</w:t>
            </w:r>
          </w:p>
        </w:tc>
        <w:tc>
          <w:tcPr>
            <w:tcW w:type="dxa" w:w="2448"/>
            <w:tcMar>
              <w:top w:w="60" w:type="dxa"/>
              <w:bottom w:w="60" w:type="dxa"/>
              <w:start w:w="90" w:type="dxa"/>
              <w:end w:w="90" w:type="dxa"/>
            </w:tcMar>
            <w:shd w:val="clear" w:fill="FFFFFF"/>
          </w:tcPr>
          <w:p>
            <w:r>
              <w:rPr>
                <w:b w:val="0"/>
                <w:sz w:val="17"/>
              </w:rPr>
              <w:t>Cryptography</w:t>
            </w:r>
          </w:p>
        </w:tc>
        <w:tc>
          <w:tcPr>
            <w:tcW w:type="dxa" w:w="2448"/>
            <w:tcMar>
              <w:top w:w="60" w:type="dxa"/>
              <w:bottom w:w="60" w:type="dxa"/>
              <w:start w:w="90" w:type="dxa"/>
              <w:end w:w="90" w:type="dxa"/>
            </w:tcMar>
            <w:shd w:val="clear" w:fill="FFFFFF"/>
          </w:tcPr>
          <w:p>
            <w:r>
              <w:rPr>
                <w:b w:val="0"/>
                <w:sz w:val="17"/>
              </w:rPr>
              <w:t>All service-to-service and artefact-signing operations use ML-DSA (Dilithium) or SLH-DSA (SPHINCS+) signatures.</w:t>
            </w:r>
          </w:p>
        </w:tc>
        <w:tc>
          <w:tcPr>
            <w:tcW w:type="dxa" w:w="2448"/>
            <w:tcMar>
              <w:top w:w="60" w:type="dxa"/>
              <w:bottom w:w="60" w:type="dxa"/>
              <w:start w:w="90" w:type="dxa"/>
              <w:end w:w="90" w:type="dxa"/>
            </w:tcMar>
            <w:shd w:val="clear" w:fill="FFFFFF"/>
          </w:tcPr>
          <w:p>
            <w:r>
              <w:rPr>
                <w:b w:val="0"/>
                <w:sz w:val="17"/>
              </w:rPr>
              <w:t>STD:NIST FIPS 204 / FIPS 205</w:t>
            </w:r>
          </w:p>
        </w:tc>
      </w:tr>
      <w:tr>
        <w:tc>
          <w:tcPr>
            <w:tcW w:type="dxa" w:w="2448"/>
            <w:tcMar>
              <w:top w:w="60" w:type="dxa"/>
              <w:bottom w:w="60" w:type="dxa"/>
              <w:start w:w="90" w:type="dxa"/>
              <w:end w:w="90" w:type="dxa"/>
            </w:tcMar>
            <w:shd w:val="clear" w:fill="EEF3F8"/>
          </w:tcPr>
          <w:p>
            <w:r>
              <w:rPr>
                <w:b w:val="0"/>
                <w:sz w:val="17"/>
              </w:rPr>
              <w:t>NFR-PQ-4</w:t>
            </w:r>
          </w:p>
        </w:tc>
        <w:tc>
          <w:tcPr>
            <w:tcW w:type="dxa" w:w="2448"/>
            <w:tcMar>
              <w:top w:w="60" w:type="dxa"/>
              <w:bottom w:w="60" w:type="dxa"/>
              <w:start w:w="90" w:type="dxa"/>
              <w:end w:w="90" w:type="dxa"/>
            </w:tcMar>
            <w:shd w:val="clear" w:fill="EEF3F8"/>
          </w:tcPr>
          <w:p>
            <w:r>
              <w:rPr>
                <w:b w:val="0"/>
                <w:sz w:val="17"/>
              </w:rPr>
              <w:t>Cryptography</w:t>
            </w:r>
          </w:p>
        </w:tc>
        <w:tc>
          <w:tcPr>
            <w:tcW w:type="dxa" w:w="2448"/>
            <w:tcMar>
              <w:top w:w="60" w:type="dxa"/>
              <w:bottom w:w="60" w:type="dxa"/>
              <w:start w:w="90" w:type="dxa"/>
              <w:end w:w="90" w:type="dxa"/>
            </w:tcMar>
            <w:shd w:val="clear" w:fill="EEF3F8"/>
          </w:tcPr>
          <w:p>
            <w:r>
              <w:rPr>
                <w:b w:val="0"/>
                <w:sz w:val="17"/>
              </w:rPr>
              <w:t>Cryptographic agility: algorithms are negotiated, versioned, and hot-swappable without data migration; a classical+PQ hybrid mode is the default.</w:t>
            </w:r>
          </w:p>
        </w:tc>
        <w:tc>
          <w:tcPr>
            <w:tcW w:type="dxa" w:w="2448"/>
            <w:tcMar>
              <w:top w:w="60" w:type="dxa"/>
              <w:bottom w:w="60" w:type="dxa"/>
              <w:start w:w="90" w:type="dxa"/>
              <w:end w:w="90" w:type="dxa"/>
            </w:tcMar>
            <w:shd w:val="clear" w:fill="EEF3F8"/>
          </w:tcPr>
          <w:p>
            <w:r>
              <w:rPr>
                <w:b w:val="0"/>
                <w:sz w:val="17"/>
              </w:rPr>
              <w:t>STD:NIST SP 1800-38</w:t>
            </w:r>
          </w:p>
        </w:tc>
      </w:tr>
      <w:tr>
        <w:tc>
          <w:tcPr>
            <w:tcW w:type="dxa" w:w="2448"/>
            <w:tcMar>
              <w:top w:w="60" w:type="dxa"/>
              <w:bottom w:w="60" w:type="dxa"/>
              <w:start w:w="90" w:type="dxa"/>
              <w:end w:w="90" w:type="dxa"/>
            </w:tcMar>
            <w:shd w:val="clear" w:fill="FFFFFF"/>
          </w:tcPr>
          <w:p>
            <w:r>
              <w:rPr>
                <w:b w:val="0"/>
                <w:sz w:val="17"/>
              </w:rPr>
              <w:t>NFR-SEC-1</w:t>
            </w:r>
          </w:p>
        </w:tc>
        <w:tc>
          <w:tcPr>
            <w:tcW w:type="dxa" w:w="2448"/>
            <w:tcMar>
              <w:top w:w="60" w:type="dxa"/>
              <w:bottom w:w="60" w:type="dxa"/>
              <w:start w:w="90" w:type="dxa"/>
              <w:end w:w="90" w:type="dxa"/>
            </w:tcMar>
            <w:shd w:val="clear" w:fill="FFFFFF"/>
          </w:tcPr>
          <w:p>
            <w:r>
              <w:rPr>
                <w:b w:val="0"/>
                <w:sz w:val="17"/>
              </w:rPr>
              <w:t>Security</w:t>
            </w:r>
          </w:p>
        </w:tc>
        <w:tc>
          <w:tcPr>
            <w:tcW w:type="dxa" w:w="2448"/>
            <w:tcMar>
              <w:top w:w="60" w:type="dxa"/>
              <w:bottom w:w="60" w:type="dxa"/>
              <w:start w:w="90" w:type="dxa"/>
              <w:end w:w="90" w:type="dxa"/>
            </w:tcMar>
            <w:shd w:val="clear" w:fill="FFFFFF"/>
          </w:tcPr>
          <w:p>
            <w:r>
              <w:rPr>
                <w:b w:val="0"/>
                <w:sz w:val="17"/>
              </w:rPr>
              <w:t>Zero-trust: every request between components is mutually authenticated and authorised on identity, device posture, and purpose.</w:t>
            </w:r>
          </w:p>
        </w:tc>
        <w:tc>
          <w:tcPr>
            <w:tcW w:type="dxa" w:w="2448"/>
            <w:tcMar>
              <w:top w:w="60" w:type="dxa"/>
              <w:bottom w:w="60" w:type="dxa"/>
              <w:start w:w="90" w:type="dxa"/>
              <w:end w:w="90" w:type="dxa"/>
            </w:tcMar>
            <w:shd w:val="clear" w:fill="FFFFFF"/>
          </w:tcPr>
          <w:p>
            <w:r>
              <w:rPr>
                <w:b w:val="0"/>
                <w:sz w:val="17"/>
              </w:rPr>
              <w:t>STD:NIST SP 800-207</w:t>
            </w:r>
          </w:p>
        </w:tc>
      </w:tr>
      <w:tr>
        <w:tc>
          <w:tcPr>
            <w:tcW w:type="dxa" w:w="2448"/>
            <w:tcMar>
              <w:top w:w="60" w:type="dxa"/>
              <w:bottom w:w="60" w:type="dxa"/>
              <w:start w:w="90" w:type="dxa"/>
              <w:end w:w="90" w:type="dxa"/>
            </w:tcMar>
            <w:shd w:val="clear" w:fill="EEF3F8"/>
          </w:tcPr>
          <w:p>
            <w:r>
              <w:rPr>
                <w:b w:val="0"/>
                <w:sz w:val="17"/>
              </w:rPr>
              <w:t>NFR-SEC-2</w:t>
            </w:r>
          </w:p>
        </w:tc>
        <w:tc>
          <w:tcPr>
            <w:tcW w:type="dxa" w:w="2448"/>
            <w:tcMar>
              <w:top w:w="60" w:type="dxa"/>
              <w:bottom w:w="60" w:type="dxa"/>
              <w:start w:w="90" w:type="dxa"/>
              <w:end w:w="90" w:type="dxa"/>
            </w:tcMar>
            <w:shd w:val="clear" w:fill="EEF3F8"/>
          </w:tcPr>
          <w:p>
            <w:r>
              <w:rPr>
                <w:b w:val="0"/>
                <w:sz w:val="17"/>
              </w:rPr>
              <w:t>Security</w:t>
            </w:r>
          </w:p>
        </w:tc>
        <w:tc>
          <w:tcPr>
            <w:tcW w:type="dxa" w:w="2448"/>
            <w:tcMar>
              <w:top w:w="60" w:type="dxa"/>
              <w:bottom w:w="60" w:type="dxa"/>
              <w:start w:w="90" w:type="dxa"/>
              <w:end w:w="90" w:type="dxa"/>
            </w:tcMar>
            <w:shd w:val="clear" w:fill="EEF3F8"/>
          </w:tcPr>
          <w:p>
            <w:r>
              <w:rPr>
                <w:b w:val="0"/>
                <w:sz w:val="17"/>
              </w:rPr>
              <w:t>Role-, marking-, and purpose-based access control is enforced at the data and object layer, with full audit lineage.</w:t>
            </w:r>
          </w:p>
        </w:tc>
        <w:tc>
          <w:tcPr>
            <w:tcW w:type="dxa" w:w="2448"/>
            <w:tcMar>
              <w:top w:w="60" w:type="dxa"/>
              <w:bottom w:w="60" w:type="dxa"/>
              <w:start w:w="90" w:type="dxa"/>
              <w:end w:w="90" w:type="dxa"/>
            </w:tcMar>
            <w:shd w:val="clear" w:fill="EEF3F8"/>
          </w:tcPr>
          <w:p>
            <w:r>
              <w:rPr>
                <w:b w:val="0"/>
                <w:sz w:val="17"/>
              </w:rPr>
              <w:t>STD:NIST AC-3 / AC-16</w:t>
            </w:r>
          </w:p>
        </w:tc>
      </w:tr>
      <w:tr>
        <w:tc>
          <w:tcPr>
            <w:tcW w:type="dxa" w:w="2448"/>
            <w:tcMar>
              <w:top w:w="60" w:type="dxa"/>
              <w:bottom w:w="60" w:type="dxa"/>
              <w:start w:w="90" w:type="dxa"/>
              <w:end w:w="90" w:type="dxa"/>
            </w:tcMar>
            <w:shd w:val="clear" w:fill="FFFFFF"/>
          </w:tcPr>
          <w:p>
            <w:r>
              <w:rPr>
                <w:b w:val="0"/>
                <w:sz w:val="17"/>
              </w:rPr>
              <w:t>NFR-AVA-1</w:t>
            </w:r>
          </w:p>
        </w:tc>
        <w:tc>
          <w:tcPr>
            <w:tcW w:type="dxa" w:w="2448"/>
            <w:tcMar>
              <w:top w:w="60" w:type="dxa"/>
              <w:bottom w:w="60" w:type="dxa"/>
              <w:start w:w="90" w:type="dxa"/>
              <w:end w:w="90" w:type="dxa"/>
            </w:tcMar>
            <w:shd w:val="clear" w:fill="FFFFFF"/>
          </w:tcPr>
          <w:p>
            <w:r>
              <w:rPr>
                <w:b w:val="0"/>
                <w:sz w:val="17"/>
              </w:rPr>
              <w:t>Availability</w:t>
            </w:r>
          </w:p>
        </w:tc>
        <w:tc>
          <w:tcPr>
            <w:tcW w:type="dxa" w:w="2448"/>
            <w:tcMar>
              <w:top w:w="60" w:type="dxa"/>
              <w:bottom w:w="60" w:type="dxa"/>
              <w:start w:w="90" w:type="dxa"/>
              <w:end w:w="90" w:type="dxa"/>
            </w:tcMar>
            <w:shd w:val="clear" w:fill="FFFFFF"/>
          </w:tcPr>
          <w:p>
            <w:r>
              <w:rPr>
                <w:b w:val="0"/>
                <w:sz w:val="17"/>
              </w:rPr>
              <w:t>Core control-plane services target 99.9% availability; the platform supports zero-downtime rolling upgrades.</w:t>
            </w:r>
          </w:p>
        </w:tc>
        <w:tc>
          <w:tcPr>
            <w:tcW w:type="dxa" w:w="2448"/>
            <w:tcMar>
              <w:top w:w="60" w:type="dxa"/>
              <w:bottom w:w="60" w:type="dxa"/>
              <w:start w:w="90" w:type="dxa"/>
              <w:end w:w="90" w:type="dxa"/>
            </w:tcMar>
            <w:shd w:val="clear" w:fill="FFFFFF"/>
          </w:tcPr>
          <w:p>
            <w:r>
              <w:rPr>
                <w:b w:val="0"/>
                <w:sz w:val="17"/>
              </w:rPr>
              <w:t>DD-1</w:t>
            </w:r>
          </w:p>
        </w:tc>
      </w:tr>
      <w:tr>
        <w:tc>
          <w:tcPr>
            <w:tcW w:type="dxa" w:w="2448"/>
            <w:tcMar>
              <w:top w:w="60" w:type="dxa"/>
              <w:bottom w:w="60" w:type="dxa"/>
              <w:start w:w="90" w:type="dxa"/>
              <w:end w:w="90" w:type="dxa"/>
            </w:tcMar>
            <w:shd w:val="clear" w:fill="EEF3F8"/>
          </w:tcPr>
          <w:p>
            <w:r>
              <w:rPr>
                <w:b w:val="0"/>
                <w:sz w:val="17"/>
              </w:rPr>
              <w:t>NFR-PRV-1</w:t>
            </w:r>
          </w:p>
        </w:tc>
        <w:tc>
          <w:tcPr>
            <w:tcW w:type="dxa" w:w="2448"/>
            <w:tcMar>
              <w:top w:w="60" w:type="dxa"/>
              <w:bottom w:w="60" w:type="dxa"/>
              <w:start w:w="90" w:type="dxa"/>
              <w:end w:w="90" w:type="dxa"/>
            </w:tcMar>
            <w:shd w:val="clear" w:fill="EEF3F8"/>
          </w:tcPr>
          <w:p>
            <w:r>
              <w:rPr>
                <w:b w:val="0"/>
                <w:sz w:val="17"/>
              </w:rPr>
              <w:t>Privacy/Sovereignty</w:t>
            </w:r>
          </w:p>
        </w:tc>
        <w:tc>
          <w:tcPr>
            <w:tcW w:type="dxa" w:w="2448"/>
            <w:tcMar>
              <w:top w:w="60" w:type="dxa"/>
              <w:bottom w:w="60" w:type="dxa"/>
              <w:start w:w="90" w:type="dxa"/>
              <w:end w:w="90" w:type="dxa"/>
            </w:tcMar>
            <w:shd w:val="clear" w:fill="EEF3F8"/>
          </w:tcPr>
          <w:p>
            <w:r>
              <w:rPr>
                <w:b w:val="0"/>
                <w:sz w:val="17"/>
              </w:rPr>
              <w:t>The suite runs fully offline / air-gapped with no outbound network dependency for any core function.</w:t>
            </w:r>
          </w:p>
        </w:tc>
        <w:tc>
          <w:tcPr>
            <w:tcW w:type="dxa" w:w="2448"/>
            <w:tcMar>
              <w:top w:w="60" w:type="dxa"/>
              <w:bottom w:w="60" w:type="dxa"/>
              <w:start w:w="90" w:type="dxa"/>
              <w:end w:w="90" w:type="dxa"/>
            </w:tcMar>
            <w:shd w:val="clear" w:fill="EEF3F8"/>
          </w:tcPr>
          <w:p>
            <w:r>
              <w:rPr>
                <w:b w:val="0"/>
                <w:sz w:val="17"/>
              </w:rPr>
              <w:t>DD-7</w:t>
            </w:r>
          </w:p>
        </w:tc>
      </w:tr>
      <w:tr>
        <w:tc>
          <w:tcPr>
            <w:tcW w:type="dxa" w:w="2448"/>
            <w:tcMar>
              <w:top w:w="60" w:type="dxa"/>
              <w:bottom w:w="60" w:type="dxa"/>
              <w:start w:w="90" w:type="dxa"/>
              <w:end w:w="90" w:type="dxa"/>
            </w:tcMar>
            <w:shd w:val="clear" w:fill="FFFFFF"/>
          </w:tcPr>
          <w:p>
            <w:r>
              <w:rPr>
                <w:b w:val="0"/>
                <w:sz w:val="17"/>
              </w:rPr>
              <w:t>NFR-OSS-1</w:t>
            </w:r>
          </w:p>
        </w:tc>
        <w:tc>
          <w:tcPr>
            <w:tcW w:type="dxa" w:w="2448"/>
            <w:tcMar>
              <w:top w:w="60" w:type="dxa"/>
              <w:bottom w:w="60" w:type="dxa"/>
              <w:start w:w="90" w:type="dxa"/>
              <w:end w:w="90" w:type="dxa"/>
            </w:tcMar>
            <w:shd w:val="clear" w:fill="FFFFFF"/>
          </w:tcPr>
          <w:p>
            <w:r>
              <w:rPr>
                <w:b w:val="0"/>
                <w:sz w:val="17"/>
              </w:rPr>
              <w:t>Openness</w:t>
            </w:r>
          </w:p>
        </w:tc>
        <w:tc>
          <w:tcPr>
            <w:tcW w:type="dxa" w:w="2448"/>
            <w:tcMar>
              <w:top w:w="60" w:type="dxa"/>
              <w:bottom w:w="60" w:type="dxa"/>
              <w:start w:w="90" w:type="dxa"/>
              <w:end w:w="90" w:type="dxa"/>
            </w:tcMar>
            <w:shd w:val="clear" w:fill="FFFFFF"/>
          </w:tcPr>
          <w:p>
            <w:r>
              <w:rPr>
                <w:b w:val="0"/>
                <w:sz w:val="17"/>
              </w:rPr>
              <w:t>All core components build reproducibly from source; an SBOM (CycloneDX) is emitted per release.</w:t>
            </w:r>
          </w:p>
        </w:tc>
        <w:tc>
          <w:tcPr>
            <w:tcW w:type="dxa" w:w="2448"/>
            <w:tcMar>
              <w:top w:w="60" w:type="dxa"/>
              <w:bottom w:w="60" w:type="dxa"/>
              <w:start w:w="90" w:type="dxa"/>
              <w:end w:w="90" w:type="dxa"/>
            </w:tcMar>
            <w:shd w:val="clear" w:fill="FFFFFF"/>
          </w:tcPr>
          <w:p>
            <w:r>
              <w:rPr>
                <w:b w:val="0"/>
                <w:sz w:val="17"/>
              </w:rPr>
              <w:t>DD-2</w:t>
            </w:r>
          </w:p>
        </w:tc>
      </w:tr>
      <w:tr>
        <w:tc>
          <w:tcPr>
            <w:tcW w:type="dxa" w:w="2448"/>
            <w:tcMar>
              <w:top w:w="60" w:type="dxa"/>
              <w:bottom w:w="60" w:type="dxa"/>
              <w:start w:w="90" w:type="dxa"/>
              <w:end w:w="90" w:type="dxa"/>
            </w:tcMar>
            <w:shd w:val="clear" w:fill="EEF3F8"/>
          </w:tcPr>
          <w:p>
            <w:r>
              <w:rPr>
                <w:b w:val="0"/>
                <w:sz w:val="17"/>
              </w:rPr>
              <w:t>NFR-PERF-1</w:t>
            </w:r>
          </w:p>
        </w:tc>
        <w:tc>
          <w:tcPr>
            <w:tcW w:type="dxa" w:w="2448"/>
            <w:tcMar>
              <w:top w:w="60" w:type="dxa"/>
              <w:bottom w:w="60" w:type="dxa"/>
              <w:start w:w="90" w:type="dxa"/>
              <w:end w:w="90" w:type="dxa"/>
            </w:tcMar>
            <w:shd w:val="clear" w:fill="EEF3F8"/>
          </w:tcPr>
          <w:p>
            <w:r>
              <w:rPr>
                <w:b w:val="0"/>
                <w:sz w:val="17"/>
              </w:rPr>
              <w:t>Performance</w:t>
            </w:r>
          </w:p>
        </w:tc>
        <w:tc>
          <w:tcPr>
            <w:tcW w:type="dxa" w:w="2448"/>
            <w:tcMar>
              <w:top w:w="60" w:type="dxa"/>
              <w:bottom w:w="60" w:type="dxa"/>
              <w:start w:w="90" w:type="dxa"/>
              <w:end w:w="90" w:type="dxa"/>
            </w:tcMar>
            <w:shd w:val="clear" w:fill="EEF3F8"/>
          </w:tcPr>
          <w:p>
            <w:r>
              <w:rPr>
                <w:b w:val="0"/>
                <w:sz w:val="17"/>
              </w:rPr>
              <w:t>Local inference first-token latency target &lt; 800 ms on reference hardware (1×80GB GPU class); batch throughput scales horizontally.</w:t>
            </w:r>
          </w:p>
        </w:tc>
        <w:tc>
          <w:tcPr>
            <w:tcW w:type="dxa" w:w="2448"/>
            <w:tcMar>
              <w:top w:w="60" w:type="dxa"/>
              <w:bottom w:w="60" w:type="dxa"/>
              <w:start w:w="90" w:type="dxa"/>
              <w:end w:w="90" w:type="dxa"/>
            </w:tcMar>
            <w:shd w:val="clear" w:fill="EEF3F8"/>
          </w:tcPr>
          <w:p>
            <w:r>
              <w:rPr>
                <w:b w:val="0"/>
                <w:sz w:val="17"/>
              </w:rPr>
              <w:t>DD-4</w:t>
            </w:r>
          </w:p>
        </w:tc>
      </w:tr>
      <w:tr>
        <w:tc>
          <w:tcPr>
            <w:tcW w:type="dxa" w:w="2448"/>
            <w:tcMar>
              <w:top w:w="60" w:type="dxa"/>
              <w:bottom w:w="60" w:type="dxa"/>
              <w:start w:w="90" w:type="dxa"/>
              <w:end w:w="90" w:type="dxa"/>
            </w:tcMar>
            <w:shd w:val="clear" w:fill="FFFFFF"/>
          </w:tcPr>
          <w:p>
            <w:r>
              <w:rPr>
                <w:b w:val="0"/>
                <w:sz w:val="17"/>
              </w:rPr>
              <w:t>NFR-AI-1</w:t>
            </w:r>
          </w:p>
        </w:tc>
        <w:tc>
          <w:tcPr>
            <w:tcW w:type="dxa" w:w="2448"/>
            <w:tcMar>
              <w:top w:w="60" w:type="dxa"/>
              <w:bottom w:w="60" w:type="dxa"/>
              <w:start w:w="90" w:type="dxa"/>
              <w:end w:w="90" w:type="dxa"/>
            </w:tcMar>
            <w:shd w:val="clear" w:fill="FFFFFF"/>
          </w:tcPr>
          <w:p>
            <w:r>
              <w:rPr>
                <w:b w:val="0"/>
                <w:sz w:val="17"/>
              </w:rPr>
              <w:t>AI Governance</w:t>
            </w:r>
          </w:p>
        </w:tc>
        <w:tc>
          <w:tcPr>
            <w:tcW w:type="dxa" w:w="2448"/>
            <w:tcMar>
              <w:top w:w="60" w:type="dxa"/>
              <w:bottom w:w="60" w:type="dxa"/>
              <w:start w:w="90" w:type="dxa"/>
              <w:end w:w="90" w:type="dxa"/>
            </w:tcMar>
            <w:shd w:val="clear" w:fill="FFFFFF"/>
          </w:tcPr>
          <w:p>
            <w:r>
              <w:rPr>
                <w:b w:val="0"/>
                <w:sz w:val="17"/>
              </w:rPr>
              <w:t>Every agentic action is traceable, evaluated against an Evals suite, and reversible or human-gated where it mutates state.</w:t>
            </w:r>
          </w:p>
        </w:tc>
        <w:tc>
          <w:tcPr>
            <w:tcW w:type="dxa" w:w="2448"/>
            <w:tcMar>
              <w:top w:w="60" w:type="dxa"/>
              <w:bottom w:w="60" w:type="dxa"/>
              <w:start w:w="90" w:type="dxa"/>
              <w:end w:w="90" w:type="dxa"/>
            </w:tcMar>
            <w:shd w:val="clear" w:fill="FFFFFF"/>
          </w:tcPr>
          <w:p>
            <w:r>
              <w:rPr>
                <w:b w:val="0"/>
                <w:sz w:val="17"/>
              </w:rPr>
              <w:t>DD-5</w:t>
            </w:r>
          </w:p>
        </w:tc>
      </w:tr>
    </w:tbl>
    <w:p/>
    <w:p>
      <w:pPr>
        <w:pStyle w:val="Heading1"/>
      </w:pPr>
      <w:r>
        <w:t>Appendix C — Glossary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Definition</w:t>
            </w:r>
          </w:p>
        </w:tc>
      </w:tr>
      <w:tr>
        <w:tc>
          <w:tcPr>
            <w:tcW w:type="dxa" w:w="4896"/>
            <w:tcMar>
              <w:top w:w="60" w:type="dxa"/>
              <w:bottom w:w="60" w:type="dxa"/>
              <w:start w:w="90" w:type="dxa"/>
              <w:end w:w="90" w:type="dxa"/>
            </w:tcMar>
            <w:shd w:val="clear" w:fill="FFFFFF"/>
          </w:tcPr>
          <w:p>
            <w:r>
              <w:rPr>
                <w:b w:val="0"/>
                <w:sz w:val="17"/>
              </w:rPr>
              <w:t>Midgard</w:t>
            </w:r>
          </w:p>
        </w:tc>
        <w:tc>
          <w:tcPr>
            <w:tcW w:type="dxa" w:w="4896"/>
            <w:tcMar>
              <w:top w:w="60" w:type="dxa"/>
              <w:bottom w:w="60" w:type="dxa"/>
              <w:start w:w="90" w:type="dxa"/>
              <w:end w:w="90" w:type="dxa"/>
            </w:tcMar>
            <w:shd w:val="clear" w:fill="FFFFFF"/>
          </w:tcPr>
          <w:p>
            <w:r>
              <w:rPr>
                <w:b w:val="0"/>
                <w:sz w:val="17"/>
              </w:rPr>
              <w:t>The core platform and umbrella suite; the sovereign 'enclosure' providing identity, storage, compute, governance, and the object/ontology fabric.</w:t>
            </w:r>
          </w:p>
        </w:tc>
      </w:tr>
      <w:tr>
        <w:tc>
          <w:tcPr>
            <w:tcW w:type="dxa" w:w="4896"/>
            <w:tcMar>
              <w:top w:w="60" w:type="dxa"/>
              <w:bottom w:w="60" w:type="dxa"/>
              <w:start w:w="90" w:type="dxa"/>
              <w:end w:w="90" w:type="dxa"/>
            </w:tcMar>
            <w:shd w:val="clear" w:fill="EEF3F8"/>
          </w:tcPr>
          <w:p>
            <w:r>
              <w:rPr>
                <w:b w:val="0"/>
                <w:sz w:val="17"/>
              </w:rPr>
              <w:t>Forge</w:t>
            </w:r>
          </w:p>
        </w:tc>
        <w:tc>
          <w:tcPr>
            <w:tcW w:type="dxa" w:w="4896"/>
            <w:tcMar>
              <w:top w:w="60" w:type="dxa"/>
              <w:bottom w:w="60" w:type="dxa"/>
              <w:start w:w="90" w:type="dxa"/>
              <w:end w:w="90" w:type="dxa"/>
            </w:tcMar>
            <w:shd w:val="clear" w:fill="EEF3F8"/>
          </w:tcPr>
          <w:p>
            <w:r>
              <w:rPr>
                <w:b w:val="0"/>
                <w:sz w:val="17"/>
              </w:rPr>
              <w:t>Data-operations product; competitor to Palantir Foundry. Ingest, transform, version, and model data into the Midgard object fabric.</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Bifrost</w:t>
            </w:r>
          </w:p>
        </w:tc>
        <w:tc>
          <w:tcPr>
            <w:tcW w:type="dxa" w:w="4896"/>
            <w:tcMar>
              <w:top w:w="60" w:type="dxa"/>
              <w:bottom w:w="60" w:type="dxa"/>
              <w:start w:w="90" w:type="dxa"/>
              <w:end w:w="90" w:type="dxa"/>
            </w:tcMar>
            <w:shd w:val="clear" w:fill="EEF3F8"/>
          </w:tcPr>
          <w:p>
            <w:r>
              <w:rPr>
                <w:b w:val="0"/>
                <w:sz w:val="17"/>
              </w:rPr>
              <w:t>Continuous-delivery product; competitor to Palantir Apollo. Orchestrates zero-downtime deployment across the suite.</w:t>
            </w:r>
          </w:p>
        </w:tc>
      </w:tr>
      <w:tr>
        <w:tc>
          <w:tcPr>
            <w:tcW w:type="dxa" w:w="4896"/>
            <w:tcMar>
              <w:top w:w="60" w:type="dxa"/>
              <w:bottom w:w="60" w:type="dxa"/>
              <w:start w:w="90" w:type="dxa"/>
              <w:end w:w="90" w:type="dxa"/>
            </w:tcMar>
            <w:shd w:val="clear" w:fill="FFFFFF"/>
          </w:tcPr>
          <w:p>
            <w:r>
              <w:rPr>
                <w:b w:val="0"/>
                <w:sz w:val="17"/>
              </w:rPr>
              <w:t>Heimdall</w:t>
            </w:r>
          </w:p>
        </w:tc>
        <w:tc>
          <w:tcPr>
            <w:tcW w:type="dxa" w:w="4896"/>
            <w:tcMar>
              <w:top w:w="60" w:type="dxa"/>
              <w:bottom w:w="60" w:type="dxa"/>
              <w:start w:w="90" w:type="dxa"/>
              <w:end w:w="90" w:type="dxa"/>
            </w:tcMar>
            <w:shd w:val="clear" w:fill="FFFFFF"/>
          </w:tcPr>
          <w:p>
            <w:r>
              <w:rPr>
                <w:b w:val="0"/>
                <w:sz w:val="17"/>
              </w:rPr>
              <w:t>Operational fusion product; competitor to Palantir Maven. Fuses feeds into a single operational picture with AI-assisted decision workflows.</w:t>
            </w:r>
          </w:p>
        </w:tc>
      </w:tr>
      <w:tr>
        <w:tc>
          <w:tcPr>
            <w:tcW w:type="dxa" w:w="4896"/>
            <w:tcMar>
              <w:top w:w="60" w:type="dxa"/>
              <w:bottom w:w="60" w:type="dxa"/>
              <w:start w:w="90" w:type="dxa"/>
              <w:end w:w="90" w:type="dxa"/>
            </w:tcMar>
            <w:shd w:val="clear" w:fill="EEF3F8"/>
          </w:tcPr>
          <w:p>
            <w:r>
              <w:rPr>
                <w:b w:val="0"/>
                <w:sz w:val="17"/>
              </w:rPr>
              <w:t>GLM 5.2</w:t>
            </w:r>
          </w:p>
        </w:tc>
        <w:tc>
          <w:tcPr>
            <w:tcW w:type="dxa" w:w="4896"/>
            <w:tcMar>
              <w:top w:w="60" w:type="dxa"/>
              <w:bottom w:w="60" w:type="dxa"/>
              <w:start w:w="90" w:type="dxa"/>
              <w:end w:w="90" w:type="dxa"/>
            </w:tcMar>
            <w:shd w:val="clear" w:fill="EEF3F8"/>
          </w:tcPr>
          <w:p>
            <w:r>
              <w:rPr>
                <w:b w:val="0"/>
                <w:sz w:val="17"/>
              </w:rPr>
              <w:t>The large language model at the core of the Mimir inference layer, served locally.</w:t>
            </w:r>
          </w:p>
        </w:tc>
      </w:tr>
      <w:tr>
        <w:tc>
          <w:tcPr>
            <w:tcW w:type="dxa" w:w="4896"/>
            <w:tcMar>
              <w:top w:w="60" w:type="dxa"/>
              <w:bottom w:w="60" w:type="dxa"/>
              <w:start w:w="90" w:type="dxa"/>
              <w:end w:w="90" w:type="dxa"/>
            </w:tcMar>
            <w:shd w:val="clear" w:fill="FFFFFF"/>
          </w:tcPr>
          <w:p>
            <w:r>
              <w:rPr>
                <w:b w:val="0"/>
                <w:sz w:val="17"/>
              </w:rPr>
              <w:t>Object fabric</w:t>
            </w:r>
          </w:p>
        </w:tc>
        <w:tc>
          <w:tcPr>
            <w:tcW w:type="dxa" w:w="4896"/>
            <w:tcMar>
              <w:top w:w="60" w:type="dxa"/>
              <w:bottom w:w="60" w:type="dxa"/>
              <w:start w:w="90" w:type="dxa"/>
              <w:end w:w="90" w:type="dxa"/>
            </w:tcMar>
            <w:shd w:val="clear" w:fill="FFFFFF"/>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EEF3F8"/>
          </w:tcPr>
          <w:p>
            <w:r>
              <w:rPr>
                <w:b w:val="0"/>
                <w:sz w:val="17"/>
              </w:rPr>
              <w:t>ML-KEM</w:t>
            </w:r>
          </w:p>
        </w:tc>
        <w:tc>
          <w:tcPr>
            <w:tcW w:type="dxa" w:w="4896"/>
            <w:tcMar>
              <w:top w:w="60" w:type="dxa"/>
              <w:bottom w:w="60" w:type="dxa"/>
              <w:start w:w="90" w:type="dxa"/>
              <w:end w:w="90" w:type="dxa"/>
            </w:tcMar>
            <w:shd w:val="clear" w:fill="EEF3F8"/>
          </w:tcPr>
          <w:p>
            <w:r>
              <w:rPr>
                <w:b w:val="0"/>
                <w:sz w:val="17"/>
              </w:rPr>
              <w:t>Module-Lattice Key-Encapsulation Mechanism (Kyber), NIST FIPS 203.</w:t>
            </w:r>
          </w:p>
        </w:tc>
      </w:tr>
      <w:tr>
        <w:tc>
          <w:tcPr>
            <w:tcW w:type="dxa" w:w="4896"/>
            <w:tcMar>
              <w:top w:w="60" w:type="dxa"/>
              <w:bottom w:w="60" w:type="dxa"/>
              <w:start w:w="90" w:type="dxa"/>
              <w:end w:w="90" w:type="dxa"/>
            </w:tcMar>
            <w:shd w:val="clear" w:fill="FFFFFF"/>
          </w:tcPr>
          <w:p>
            <w:r>
              <w:rPr>
                <w:b w:val="0"/>
                <w:sz w:val="17"/>
              </w:rPr>
              <w:t>ML-DSA</w:t>
            </w:r>
          </w:p>
        </w:tc>
        <w:tc>
          <w:tcPr>
            <w:tcW w:type="dxa" w:w="4896"/>
            <w:tcMar>
              <w:top w:w="60" w:type="dxa"/>
              <w:bottom w:w="60" w:type="dxa"/>
              <w:start w:w="90" w:type="dxa"/>
              <w:end w:w="90" w:type="dxa"/>
            </w:tcMar>
            <w:shd w:val="clear" w:fill="FFFFFF"/>
          </w:tcPr>
          <w:p>
            <w:r>
              <w:rPr>
                <w:b w:val="0"/>
                <w:sz w:val="17"/>
              </w:rPr>
              <w:t>Module-Lattice Digital Signature Algorithm (Dilithium), NIST FIPS 204.</w:t>
            </w:r>
          </w:p>
        </w:tc>
      </w:tr>
      <w:tr>
        <w:tc>
          <w:tcPr>
            <w:tcW w:type="dxa" w:w="4896"/>
            <w:tcMar>
              <w:top w:w="60" w:type="dxa"/>
              <w:bottom w:w="60" w:type="dxa"/>
              <w:start w:w="90" w:type="dxa"/>
              <w:end w:w="90" w:type="dxa"/>
            </w:tcMar>
            <w:shd w:val="clear" w:fill="EEF3F8"/>
          </w:tcPr>
          <w:p>
            <w:r>
              <w:rPr>
                <w:b w:val="0"/>
                <w:sz w:val="17"/>
              </w:rPr>
              <w:t>SLH-DSA</w:t>
            </w:r>
          </w:p>
        </w:tc>
        <w:tc>
          <w:tcPr>
            <w:tcW w:type="dxa" w:w="4896"/>
            <w:tcMar>
              <w:top w:w="60" w:type="dxa"/>
              <w:bottom w:w="60" w:type="dxa"/>
              <w:start w:w="90" w:type="dxa"/>
              <w:end w:w="90" w:type="dxa"/>
            </w:tcMar>
            <w:shd w:val="clear" w:fill="EEF3F8"/>
          </w:tcPr>
          <w:p>
            <w:r>
              <w:rPr>
                <w:b w:val="0"/>
                <w:sz w:val="17"/>
              </w:rPr>
              <w:t>Stateless Hash-based Digital Signature Algorithm (SPHINCS+), NIST FIPS 205.</w:t>
            </w:r>
          </w:p>
        </w:tc>
      </w:tr>
      <w:tr>
        <w:tc>
          <w:tcPr>
            <w:tcW w:type="dxa" w:w="4896"/>
            <w:tcMar>
              <w:top w:w="60" w:type="dxa"/>
              <w:bottom w:w="60" w:type="dxa"/>
              <w:start w:w="90" w:type="dxa"/>
              <w:end w:w="90" w:type="dxa"/>
            </w:tcMar>
            <w:shd w:val="clear" w:fill="FFFFFF"/>
          </w:tcPr>
          <w:p>
            <w:r>
              <w:rPr>
                <w:b w:val="0"/>
                <w:sz w:val="17"/>
              </w:rPr>
              <w:t>OAG</w:t>
            </w:r>
          </w:p>
        </w:tc>
        <w:tc>
          <w:tcPr>
            <w:tcW w:type="dxa" w:w="4896"/>
            <w:tcMar>
              <w:top w:w="60" w:type="dxa"/>
              <w:bottom w:w="60" w:type="dxa"/>
              <w:start w:w="90" w:type="dxa"/>
              <w:end w:w="90" w:type="dxa"/>
            </w:tcMar>
            <w:shd w:val="clear" w:fill="FFFFFF"/>
          </w:tcPr>
          <w:p>
            <w:r>
              <w:rPr>
                <w:b w:val="0"/>
                <w:sz w:val="17"/>
              </w:rPr>
              <w:t>Ontology-Augmented Generation: grounding the LLM in the object fabric's data, logic, and actions.</w:t>
            </w:r>
          </w:p>
        </w:tc>
      </w:tr>
      <w:tr>
        <w:tc>
          <w:tcPr>
            <w:tcW w:type="dxa" w:w="4896"/>
            <w:tcMar>
              <w:top w:w="60" w:type="dxa"/>
              <w:bottom w:w="60" w:type="dxa"/>
              <w:start w:w="90" w:type="dxa"/>
              <w:end w:w="90" w:type="dxa"/>
            </w:tcMar>
            <w:shd w:val="clear" w:fill="EEF3F8"/>
          </w:tcPr>
          <w:p>
            <w:r>
              <w:rPr>
                <w:b w:val="0"/>
                <w:sz w:val="17"/>
              </w:rPr>
              <w:t>Seal</w:t>
            </w:r>
          </w:p>
        </w:tc>
        <w:tc>
          <w:tcPr>
            <w:tcW w:type="dxa" w:w="4896"/>
            <w:tcMar>
              <w:top w:w="60" w:type="dxa"/>
              <w:bottom w:w="60" w:type="dxa"/>
              <w:start w:w="90" w:type="dxa"/>
              <w:end w:w="90" w:type="dxa"/>
            </w:tcMar>
            <w:shd w:val="clear" w:fill="EEF3F8"/>
          </w:tcPr>
          <w:p>
            <w:r>
              <w:rPr>
                <w:b w:val="0"/>
                <w:sz w:val="17"/>
              </w:rPr>
              <w:t>The Kryotech post-quantum encryption action applied to objects and artefacts.</w:t>
            </w:r>
          </w:p>
        </w:tc>
      </w:tr>
      <w:tr>
        <w:tc>
          <w:tcPr>
            <w:tcW w:type="dxa" w:w="4896"/>
            <w:tcMar>
              <w:top w:w="60" w:type="dxa"/>
              <w:bottom w:w="60" w:type="dxa"/>
              <w:start w:w="90" w:type="dxa"/>
              <w:end w:w="90" w:type="dxa"/>
            </w:tcMar>
            <w:shd w:val="clear" w:fill="FFFFFF"/>
          </w:tcPr>
          <w:p>
            <w:r>
              <w:rPr>
                <w:b w:val="0"/>
                <w:sz w:val="17"/>
              </w:rPr>
              <w:t>Enclosure</w:t>
            </w:r>
          </w:p>
        </w:tc>
        <w:tc>
          <w:tcPr>
            <w:tcW w:type="dxa" w:w="4896"/>
            <w:tcMar>
              <w:top w:w="60" w:type="dxa"/>
              <w:bottom w:w="60" w:type="dxa"/>
              <w:start w:w="90" w:type="dxa"/>
              <w:end w:w="90" w:type="dxa"/>
            </w:tcMar>
            <w:shd w:val="clear" w:fill="FFFFFF"/>
          </w:tcPr>
          <w:p>
            <w:r>
              <w:rPr>
                <w:b w:val="0"/>
                <w:sz w:val="17"/>
              </w:rPr>
              <w:t>The Midgard trust boundary; the defended, sovereign space within which all products run.</w:t>
            </w:r>
          </w:p>
        </w:tc>
      </w:tr>
    </w:tbl>
    <w:p/>
    <w:p>
      <w:pPr>
        <w:pStyle w:val="Heading1"/>
      </w:pPr>
      <w:r>
        <w:t>Appendix D — Diagram Source Index</w:t>
      </w:r>
    </w:p>
    <w:p>
      <w:r>
        <w:rPr>
          <w:sz w:val="21"/>
        </w:rPr>
        <w:t>Every diagram in this document is provided as editable Mermaid (</w:t>
      </w:r>
      <w:r>
        <w:rPr>
          <w:rFonts w:ascii="Consolas" w:hAnsi="Consolas"/>
          <w:color w:val="0B4884"/>
          <w:sz w:val="18"/>
        </w:rPr>
        <w:t>.mmd</w:t>
      </w:r>
      <w:r>
        <w:rPr>
          <w:sz w:val="21"/>
        </w:rPr>
        <w:t>) and draw.io (</w:t>
      </w:r>
      <w:r>
        <w:rPr>
          <w:rFonts w:ascii="Consolas" w:hAnsi="Consolas"/>
          <w:color w:val="0B4884"/>
          <w:sz w:val="18"/>
        </w:rPr>
        <w:t>.drawio</w:t>
      </w:r>
      <w:r>
        <w:rPr>
          <w:sz w:val="21"/>
        </w:rPr>
        <w:t xml:space="preserve">) source alongside the rendered PNG, in the </w:t>
      </w:r>
      <w:r>
        <w:rPr>
          <w:rFonts w:ascii="Consolas" w:hAnsi="Consolas"/>
          <w:color w:val="0B4884"/>
          <w:sz w:val="18"/>
        </w:rPr>
        <w:t>diagrams/</w:t>
      </w:r>
      <w:r>
        <w:rPr>
          <w:sz w:val="21"/>
        </w:rPr>
        <w:t xml:space="preserve"> directory.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System context</w:t>
            </w:r>
          </w:p>
        </w:tc>
        <w:tc>
          <w:tcPr>
            <w:tcW w:type="dxa" w:w="3264"/>
            <w:tcMar>
              <w:top w:w="60" w:type="dxa"/>
              <w:bottom w:w="60" w:type="dxa"/>
              <w:start w:w="90" w:type="dxa"/>
              <w:end w:w="90" w:type="dxa"/>
            </w:tcMar>
            <w:shd w:val="clear" w:fill="FFFFFF"/>
          </w:tcPr>
          <w:p>
            <w:r>
              <w:rPr>
                <w:b w:val="0"/>
                <w:sz w:val="17"/>
              </w:rPr>
              <w:t>midgard_c4_context.mmd</w:t>
            </w:r>
          </w:p>
        </w:tc>
        <w:tc>
          <w:tcPr>
            <w:tcW w:type="dxa" w:w="3264"/>
            <w:tcMar>
              <w:top w:w="60" w:type="dxa"/>
              <w:bottom w:w="60" w:type="dxa"/>
              <w:start w:w="90" w:type="dxa"/>
              <w:end w:w="90" w:type="dxa"/>
            </w:tcMar>
            <w:shd w:val="clear" w:fill="FFFFFF"/>
          </w:tcPr>
          <w:p>
            <w:r>
              <w:rPr>
                <w:b w:val="0"/>
                <w:sz w:val="17"/>
              </w:rPr>
              <w:t>midgard_c4_context.drawio</w:t>
            </w:r>
          </w:p>
        </w:tc>
      </w:tr>
      <w:tr>
        <w:tc>
          <w:tcPr>
            <w:tcW w:type="dxa" w:w="3264"/>
            <w:tcMar>
              <w:top w:w="60" w:type="dxa"/>
              <w:bottom w:w="60" w:type="dxa"/>
              <w:start w:w="90" w:type="dxa"/>
              <w:end w:w="90" w:type="dxa"/>
            </w:tcMar>
            <w:shd w:val="clear" w:fill="EEF3F8"/>
          </w:tcPr>
          <w:p>
            <w:r>
              <w:rPr>
                <w:b w:val="0"/>
                <w:sz w:val="17"/>
              </w:rPr>
              <w:t>Containers</w:t>
            </w:r>
          </w:p>
        </w:tc>
        <w:tc>
          <w:tcPr>
            <w:tcW w:type="dxa" w:w="3264"/>
            <w:tcMar>
              <w:top w:w="60" w:type="dxa"/>
              <w:bottom w:w="60" w:type="dxa"/>
              <w:start w:w="90" w:type="dxa"/>
              <w:end w:w="90" w:type="dxa"/>
            </w:tcMar>
            <w:shd w:val="clear" w:fill="EEF3F8"/>
          </w:tcPr>
          <w:p>
            <w:r>
              <w:rPr>
                <w:b w:val="0"/>
                <w:sz w:val="17"/>
              </w:rPr>
              <w:t>midgard_c4_containers.mmd</w:t>
            </w:r>
          </w:p>
        </w:tc>
        <w:tc>
          <w:tcPr>
            <w:tcW w:type="dxa" w:w="3264"/>
            <w:tcMar>
              <w:top w:w="60" w:type="dxa"/>
              <w:bottom w:w="60" w:type="dxa"/>
              <w:start w:w="90" w:type="dxa"/>
              <w:end w:w="90" w:type="dxa"/>
            </w:tcMar>
            <w:shd w:val="clear" w:fill="EEF3F8"/>
          </w:tcPr>
          <w:p>
            <w:r>
              <w:rPr>
                <w:b w:val="0"/>
                <w:sz w:val="17"/>
              </w:rPr>
              <w:t>midgard_c4_containers.drawio</w:t>
            </w:r>
          </w:p>
        </w:tc>
      </w:tr>
      <w:tr>
        <w:tc>
          <w:tcPr>
            <w:tcW w:type="dxa" w:w="3264"/>
            <w:tcMar>
              <w:top w:w="60" w:type="dxa"/>
              <w:bottom w:w="60" w:type="dxa"/>
              <w:start w:w="90" w:type="dxa"/>
              <w:end w:w="90" w:type="dxa"/>
            </w:tcMar>
            <w:shd w:val="clear" w:fill="FFFFFF"/>
          </w:tcPr>
          <w:p>
            <w:r>
              <w:rPr>
                <w:b w:val="0"/>
                <w:sz w:val="17"/>
              </w:rPr>
              <w:t>Data model</w:t>
            </w:r>
          </w:p>
        </w:tc>
        <w:tc>
          <w:tcPr>
            <w:tcW w:type="dxa" w:w="3264"/>
            <w:tcMar>
              <w:top w:w="60" w:type="dxa"/>
              <w:bottom w:w="60" w:type="dxa"/>
              <w:start w:w="90" w:type="dxa"/>
              <w:end w:w="90" w:type="dxa"/>
            </w:tcMar>
            <w:shd w:val="clear" w:fill="FFFFFF"/>
          </w:tcPr>
          <w:p>
            <w:r>
              <w:rPr>
                <w:b w:val="0"/>
                <w:sz w:val="17"/>
              </w:rPr>
              <w:t>midgard_er.mmd</w:t>
            </w:r>
          </w:p>
        </w:tc>
        <w:tc>
          <w:tcPr>
            <w:tcW w:type="dxa" w:w="3264"/>
            <w:tcMar>
              <w:top w:w="60" w:type="dxa"/>
              <w:bottom w:w="60" w:type="dxa"/>
              <w:start w:w="90" w:type="dxa"/>
              <w:end w:w="90" w:type="dxa"/>
            </w:tcMar>
            <w:shd w:val="clear" w:fill="FFFFFF"/>
          </w:tcPr>
          <w:p>
            <w:r>
              <w:rPr>
                <w:b w:val="0"/>
                <w:sz w:val="17"/>
              </w:rPr>
              <w:t>midgard_er.drawio</w:t>
            </w:r>
          </w:p>
        </w:tc>
      </w:tr>
      <w:tr>
        <w:tc>
          <w:tcPr>
            <w:tcW w:type="dxa" w:w="3264"/>
            <w:tcMar>
              <w:top w:w="60" w:type="dxa"/>
              <w:bottom w:w="60" w:type="dxa"/>
              <w:start w:w="90" w:type="dxa"/>
              <w:end w:w="90" w:type="dxa"/>
            </w:tcMar>
            <w:shd w:val="clear" w:fill="EEF3F8"/>
          </w:tcPr>
          <w:p>
            <w:r>
              <w:rPr>
                <w:b w:val="0"/>
                <w:sz w:val="17"/>
              </w:rPr>
              <w:t>PQ handshake</w:t>
            </w:r>
          </w:p>
        </w:tc>
        <w:tc>
          <w:tcPr>
            <w:tcW w:type="dxa" w:w="3264"/>
            <w:tcMar>
              <w:top w:w="60" w:type="dxa"/>
              <w:bottom w:w="60" w:type="dxa"/>
              <w:start w:w="90" w:type="dxa"/>
              <w:end w:w="90" w:type="dxa"/>
            </w:tcMar>
            <w:shd w:val="clear" w:fill="EEF3F8"/>
          </w:tcPr>
          <w:p>
            <w:r>
              <w:rPr>
                <w:b w:val="0"/>
                <w:sz w:val="17"/>
              </w:rPr>
              <w:t>midgard_seq_pq_handshake.mmd</w:t>
            </w:r>
          </w:p>
        </w:tc>
        <w:tc>
          <w:tcPr>
            <w:tcW w:type="dxa" w:w="3264"/>
            <w:tcMar>
              <w:top w:w="60" w:type="dxa"/>
              <w:bottom w:w="60" w:type="dxa"/>
              <w:start w:w="90" w:type="dxa"/>
              <w:end w:w="90" w:type="dxa"/>
            </w:tcMar>
            <w:shd w:val="clear" w:fill="EEF3F8"/>
          </w:tcPr>
          <w:p>
            <w:r>
              <w:rPr>
                <w:b w:val="0"/>
                <w:sz w:val="17"/>
              </w:rPr>
              <w:t>midgard_seq_pq_handshake.drawio</w:t>
            </w:r>
          </w:p>
        </w:tc>
      </w:tr>
      <w:tr>
        <w:tc>
          <w:tcPr>
            <w:tcW w:type="dxa" w:w="3264"/>
            <w:tcMar>
              <w:top w:w="60" w:type="dxa"/>
              <w:bottom w:w="60" w:type="dxa"/>
              <w:start w:w="90" w:type="dxa"/>
              <w:end w:w="90" w:type="dxa"/>
            </w:tcMar>
            <w:shd w:val="clear" w:fill="FFFFFF"/>
          </w:tcPr>
          <w:p>
            <w:r>
              <w:rPr>
                <w:b w:val="0"/>
                <w:sz w:val="17"/>
              </w:rPr>
              <w:t>Deployment</w:t>
            </w:r>
          </w:p>
        </w:tc>
        <w:tc>
          <w:tcPr>
            <w:tcW w:type="dxa" w:w="3264"/>
            <w:tcMar>
              <w:top w:w="60" w:type="dxa"/>
              <w:bottom w:w="60" w:type="dxa"/>
              <w:start w:w="90" w:type="dxa"/>
              <w:end w:w="90" w:type="dxa"/>
            </w:tcMar>
            <w:shd w:val="clear" w:fill="FFFFFF"/>
          </w:tcPr>
          <w:p>
            <w:r>
              <w:rPr>
                <w:b w:val="0"/>
                <w:sz w:val="17"/>
              </w:rPr>
              <w:t>midgard_deployment.mmd</w:t>
            </w:r>
          </w:p>
        </w:tc>
        <w:tc>
          <w:tcPr>
            <w:tcW w:type="dxa" w:w="3264"/>
            <w:tcMar>
              <w:top w:w="60" w:type="dxa"/>
              <w:bottom w:w="60" w:type="dxa"/>
              <w:start w:w="90" w:type="dxa"/>
              <w:end w:w="90" w:type="dxa"/>
            </w:tcMar>
            <w:shd w:val="clear" w:fill="FFFFFF"/>
          </w:tcPr>
          <w:p>
            <w:r>
              <w:rPr>
                <w:b w:val="0"/>
                <w:sz w:val="17"/>
              </w:rPr>
              <w:t>midgard_deployment.drawio</w:t>
            </w:r>
          </w:p>
        </w:tc>
      </w:tr>
      <w:tr>
        <w:tc>
          <w:tcPr>
            <w:tcW w:type="dxa" w:w="3264"/>
            <w:tcMar>
              <w:top w:w="60" w:type="dxa"/>
              <w:bottom w:w="60" w:type="dxa"/>
              <w:start w:w="90" w:type="dxa"/>
              <w:end w:w="90" w:type="dxa"/>
            </w:tcMar>
            <w:shd w:val="clear" w:fill="EEF3F8"/>
          </w:tcPr>
          <w:p>
            <w:r>
              <w:rPr>
                <w:b w:val="0"/>
                <w:sz w:val="17"/>
              </w:rPr>
              <w:t>CI/CD</w:t>
            </w:r>
          </w:p>
        </w:tc>
        <w:tc>
          <w:tcPr>
            <w:tcW w:type="dxa" w:w="3264"/>
            <w:tcMar>
              <w:top w:w="60" w:type="dxa"/>
              <w:bottom w:w="60" w:type="dxa"/>
              <w:start w:w="90" w:type="dxa"/>
              <w:end w:w="90" w:type="dxa"/>
            </w:tcMar>
            <w:shd w:val="clear" w:fill="EEF3F8"/>
          </w:tcPr>
          <w:p>
            <w:r>
              <w:rPr>
                <w:b w:val="0"/>
                <w:sz w:val="17"/>
              </w:rPr>
              <w:t>midgard_cicd.mmd</w:t>
            </w:r>
          </w:p>
        </w:tc>
        <w:tc>
          <w:tcPr>
            <w:tcW w:type="dxa" w:w="3264"/>
            <w:tcMar>
              <w:top w:w="60" w:type="dxa"/>
              <w:bottom w:w="60" w:type="dxa"/>
              <w:start w:w="90" w:type="dxa"/>
              <w:end w:w="90" w:type="dxa"/>
            </w:tcMar>
            <w:shd w:val="clear" w:fill="EEF3F8"/>
          </w:tcPr>
          <w:p>
            <w:r>
              <w:rPr>
                <w:b w:val="0"/>
                <w:sz w:val="17"/>
              </w:rPr>
              <w:t>midgard_cicd.drawio</w:t>
            </w:r>
          </w:p>
        </w:tc>
      </w:tr>
      <w:tr>
        <w:tc>
          <w:tcPr>
            <w:tcW w:type="dxa" w:w="3264"/>
            <w:tcMar>
              <w:top w:w="60" w:type="dxa"/>
              <w:bottom w:w="60" w:type="dxa"/>
              <w:start w:w="90" w:type="dxa"/>
              <w:end w:w="90" w:type="dxa"/>
            </w:tcMar>
            <w:shd w:val="clear" w:fill="FFFFFF"/>
          </w:tcPr>
          <w:p>
            <w:r>
              <w:rPr>
                <w:b w:val="0"/>
                <w:sz w:val="17"/>
              </w:rPr>
              <w:t>Threat DFD</w:t>
            </w:r>
          </w:p>
        </w:tc>
        <w:tc>
          <w:tcPr>
            <w:tcW w:type="dxa" w:w="3264"/>
            <w:tcMar>
              <w:top w:w="60" w:type="dxa"/>
              <w:bottom w:w="60" w:type="dxa"/>
              <w:start w:w="90" w:type="dxa"/>
              <w:end w:w="90" w:type="dxa"/>
            </w:tcMar>
            <w:shd w:val="clear" w:fill="FFFFFF"/>
          </w:tcPr>
          <w:p>
            <w:r>
              <w:rPr>
                <w:b w:val="0"/>
                <w:sz w:val="17"/>
              </w:rPr>
              <w:t>midgard_threat_dfd.mmd</w:t>
            </w:r>
          </w:p>
        </w:tc>
        <w:tc>
          <w:tcPr>
            <w:tcW w:type="dxa" w:w="3264"/>
            <w:tcMar>
              <w:top w:w="60" w:type="dxa"/>
              <w:bottom w:w="60" w:type="dxa"/>
              <w:start w:w="90" w:type="dxa"/>
              <w:end w:w="90" w:type="dxa"/>
            </w:tcMar>
            <w:shd w:val="clear" w:fill="FFFFFF"/>
          </w:tcPr>
          <w:p>
            <w:r>
              <w:rPr>
                <w:b w:val="0"/>
                <w:sz w:val="17"/>
              </w:rPr>
              <w:t>midgard_threat_dfd.drawio</w:t>
            </w:r>
          </w:p>
        </w:tc>
      </w:tr>
      <w:tr>
        <w:tc>
          <w:tcPr>
            <w:tcW w:type="dxa" w:w="3264"/>
            <w:tcMar>
              <w:top w:w="60" w:type="dxa"/>
              <w:bottom w:w="60" w:type="dxa"/>
              <w:start w:w="90" w:type="dxa"/>
              <w:end w:w="90" w:type="dxa"/>
            </w:tcMar>
            <w:shd w:val="clear" w:fill="EEF3F8"/>
          </w:tcPr>
          <w:p>
            <w:r>
              <w:rPr>
                <w:b w:val="0"/>
                <w:sz w:val="17"/>
              </w:rPr>
              <w:t>User journey</w:t>
            </w:r>
          </w:p>
        </w:tc>
        <w:tc>
          <w:tcPr>
            <w:tcW w:type="dxa" w:w="3264"/>
            <w:tcMar>
              <w:top w:w="60" w:type="dxa"/>
              <w:bottom w:w="60" w:type="dxa"/>
              <w:start w:w="90" w:type="dxa"/>
              <w:end w:w="90" w:type="dxa"/>
            </w:tcMar>
            <w:shd w:val="clear" w:fill="EEF3F8"/>
          </w:tcPr>
          <w:p>
            <w:r>
              <w:rPr>
                <w:b w:val="0"/>
                <w:sz w:val="17"/>
              </w:rPr>
              <w:t>midgard_journey.mmd</w:t>
            </w:r>
          </w:p>
        </w:tc>
        <w:tc>
          <w:tcPr>
            <w:tcW w:type="dxa" w:w="3264"/>
            <w:tcMar>
              <w:top w:w="60" w:type="dxa"/>
              <w:bottom w:w="60" w:type="dxa"/>
              <w:start w:w="90" w:type="dxa"/>
              <w:end w:w="90" w:type="dxa"/>
            </w:tcMar>
            <w:shd w:val="clear" w:fill="EEF3F8"/>
          </w:tcPr>
          <w:p>
            <w:r>
              <w:rPr>
                <w:b w:val="0"/>
                <w:sz w:val="17"/>
              </w:rPr>
              <w:t>midgard_journey.drawio</w:t>
            </w:r>
          </w:p>
        </w:tc>
      </w:tr>
    </w:tbl>
    <w:p/>
    <w:sectPr w:rsidR="00FC693F" w:rsidRPr="0006063C" w:rsidSect="00034616">
      <w:headerReference w:type="default" r:id="rId16"/>
      <w:footerReference w:type="default" r:id="rId17"/>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Midgard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