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Mimir</w:t>
      </w:r>
    </w:p>
    <w:p>
      <w:pPr>
        <w:jc w:val="center"/>
      </w:pPr>
      <w:r>
        <w:rPr>
          <w:i/>
          <w:color w:val="1168BD"/>
          <w:sz w:val="26"/>
        </w:rPr>
        <w:t>Local Agentic AI (GLM / Nemotron / Gemma) — a self-* , post-quantum competitor to Palantir AIP</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Mimir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Mimir</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AIP</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Mimir is the reasoning and AI product of the Midgard suite and a direct, more capable competitor to Palantir AIP. It differs from AIP in a foundational way: all generative AI, reasoning, and inference are served </w:t>
      </w:r>
      <w:r>
        <w:rPr>
          <w:b/>
          <w:sz w:val="21"/>
        </w:rPr>
        <w:t>locally, in-enclosure</w:t>
      </w:r>
      <w:r>
        <w:rPr>
          <w:sz w:val="21"/>
        </w:rPr>
        <w:t xml:space="preserve">, by GLM 5.2 — there is no dependency on any third-party hosted model. Mimir is also </w:t>
      </w:r>
      <w:r>
        <w:rPr>
          <w:b/>
          <w:sz w:val="21"/>
        </w:rPr>
        <w:t>agentic and self-\</w:t>
      </w:r>
      <w:r>
        <w:rPr>
          <w:sz w:val="21"/>
        </w:rPr>
        <w:t xml:space="preserve">*: its agents self-learn from governed feedback, self-heal from failures, and self-defend against adversarial input, all within an evaluation-and-guardrail framework. </w:t>
      </w:r>
      <w:r>
        <w:rPr>
          <w:rFonts w:ascii="Consolas" w:hAnsi="Consolas"/>
          <w:color w:val="0B4884"/>
          <w:sz w:val="18"/>
        </w:rPr>
        <w:t>[DD-1]</w:t>
      </w:r>
      <w:r>
        <w:rPr>
          <w:sz w:val="21"/>
        </w:rPr>
        <w:t xml:space="preserve"> </w:t>
      </w:r>
      <w:r>
        <w:rPr>
          <w:rFonts w:ascii="Consolas" w:hAnsi="Consolas"/>
          <w:color w:val="0B4884"/>
          <w:sz w:val="18"/>
        </w:rPr>
        <w:t>[DD-4]</w:t>
      </w:r>
      <w:r>
        <w:rPr>
          <w:sz w:val="21"/>
        </w:rPr>
        <w:t xml:space="preserve"> </w:t>
      </w:r>
      <w:r>
        <w:rPr>
          <w:rFonts w:ascii="Consolas" w:hAnsi="Consolas"/>
          <w:color w:val="0B4884"/>
          <w:sz w:val="18"/>
        </w:rPr>
        <w:t>[DD-5]</w:t>
      </w:r>
      <w:r>
        <w:rPr>
          <w:sz w:val="21"/>
        </w:rPr>
        <w:t xml:space="preserve"> </w:t>
      </w:r>
      <w:r>
        <w:rPr>
          <w:rFonts w:ascii="Consolas" w:hAnsi="Consolas"/>
          <w:color w:val="0B4884"/>
          <w:sz w:val="18"/>
        </w:rPr>
        <w:t>[DD-7]</w:t>
      </w:r>
      <w:r>
        <w:rPr>
          <w:sz w:val="21"/>
        </w:rPr>
      </w:r>
    </w:p>
    <w:p>
      <w:r>
        <w:rPr>
          <w:sz w:val="21"/>
        </w:rPr>
        <w:t xml:space="preserve">Mimir is simultaneously a </w:t>
      </w:r>
      <w:r>
        <w:rPr>
          <w:b/>
          <w:sz w:val="21"/>
        </w:rPr>
        <w:t>product</w:t>
      </w:r>
      <w:r>
        <w:rPr>
          <w:sz w:val="21"/>
        </w:rPr>
        <w:t xml:space="preserve"> (the AIP competitor) and a </w:t>
      </w:r>
      <w:r>
        <w:rPr>
          <w:b/>
          <w:sz w:val="21"/>
        </w:rPr>
        <w:t>shared service</w:t>
      </w:r>
      <w:r>
        <w:rPr>
          <w:sz w:val="21"/>
        </w:rPr>
        <w:t xml:space="preserve">: the same local-inference plane powers AI features in Forge, Bifrost, and Heimdall. This is a deliberate one-model-plane, many-consumers design. </w:t>
      </w:r>
      <w:r>
        <w:rPr>
          <w:rFonts w:ascii="Consolas" w:hAnsi="Consolas"/>
          <w:color w:val="0B4884"/>
          <w:sz w:val="18"/>
        </w:rPr>
        <w:t>[DD-6]</w:t>
      </w:r>
      <w:r>
        <w:rPr>
          <w:sz w:val="21"/>
        </w:rPr>
      </w:r>
    </w:p>
    <w:p>
      <w:r>
        <w:rPr>
          <w:sz w:val="21"/>
        </w:rPr>
        <w:t xml:space="preserve">This document is a </w:t>
      </w:r>
      <w:r>
        <w:rPr>
          <w:b/>
          <w:sz w:val="21"/>
        </w:rPr>
        <w:t>forward-looking design specification</w:t>
      </w:r>
      <w:r>
        <w:rPr>
          <w:sz w:val="21"/>
        </w:rPr>
        <w:t>; every decision carries a provenance tag rather than a repository citation.</w:t>
      </w:r>
    </w:p>
    <w:p>
      <w:pPr>
        <w:shd w:val="clear" w:fill="EEF3F8"/>
        <w:pBdr>
          <w:left w:val="single" w:sz="18" w:space="8" w:color="0B4884"/>
        </w:pBdr>
        <w:ind w:left="144"/>
      </w:pPr>
      <w:r>
        <w:rPr>
          <w:sz w:val="21"/>
        </w:rPr>
      </w:r>
      <w:r>
        <w:rPr>
          <w:b/>
          <w:sz w:val="21"/>
        </w:rPr>
        <w:t>Self-\* defined.</w:t>
      </w:r>
      <w:r>
        <w:rPr>
          <w:sz w:val="21"/>
        </w:rPr>
        <w:t xml:space="preserve"> *Self-learning*: agents incorporate governed feedback into retrieval and prompt/policy updates. *Self-healing*: the runtime detects degraded inference or failed tools and re-routes, retries, or rolls back. *Self-defending*: inputs and tool calls pass through guardrail and prompt-injection defences before execution. Every self-\* action is audited, evaluated, and reversible or human-gated where it mutates state. </w:t>
      </w:r>
      <w:r>
        <w:rPr>
          <w:rFonts w:ascii="Consolas" w:hAnsi="Consolas"/>
          <w:color w:val="0B4884"/>
          <w:sz w:val="18"/>
        </w:rPr>
        <w:t>[DD-5]</w:t>
      </w:r>
      <w:r>
        <w:rPr>
          <w:sz w:val="21"/>
        </w:rPr>
        <w:t xml:space="preserve"> </w:t>
      </w:r>
      <w:r>
        <w:rPr>
          <w:rFonts w:ascii="Consolas" w:hAnsi="Consolas"/>
          <w:color w:val="0B4884"/>
          <w:sz w:val="18"/>
        </w:rPr>
        <w:t>[NFR-AI-1]</w:t>
      </w:r>
      <w:r>
        <w:rPr>
          <w:sz w:val="21"/>
        </w:rPr>
      </w:r>
    </w:p>
    <w:p>
      <w:pPr>
        <w:pStyle w:val="Heading2"/>
      </w:pPr>
      <w:r>
        <w:t>1.1 Top design facts</w:t>
      </w:r>
    </w:p>
    <w:p>
      <w:pPr>
        <w:pStyle w:val="ListBullet"/>
      </w:pPr>
      <w:r>
        <w:rPr>
          <w:sz w:val="21"/>
        </w:rPr>
      </w:r>
      <w:r>
        <w:rPr>
          <w:b/>
          <w:sz w:val="21"/>
        </w:rPr>
        <w:t>GLM 5.2 served locally</w:t>
      </w:r>
      <w:r>
        <w:rPr>
          <w:sz w:val="21"/>
        </w:rPr>
        <w:t xml:space="preserve"> behind a model-serving runtime with batching and KV-cache; no hosted-LLM dependency. </w:t>
      </w:r>
      <w:r>
        <w:rPr>
          <w:rFonts w:ascii="Consolas" w:hAnsi="Consolas"/>
          <w:color w:val="0B4884"/>
          <w:sz w:val="18"/>
        </w:rPr>
        <w:t>[DD-4]</w:t>
      </w:r>
      <w:r>
        <w:rPr>
          <w:sz w:val="21"/>
        </w:rPr>
      </w:r>
    </w:p>
    <w:p>
      <w:pPr>
        <w:pStyle w:val="ListBullet"/>
      </w:pPr>
      <w:r>
        <w:rPr>
          <w:sz w:val="21"/>
        </w:rPr>
      </w:r>
      <w:r>
        <w:rPr>
          <w:b/>
          <w:sz w:val="21"/>
        </w:rPr>
        <w:t>Ontology-Augmented Generation (OAG):</w:t>
      </w:r>
      <w:r>
        <w:rPr>
          <w:sz w:val="21"/>
        </w:rPr>
        <w:t xml:space="preserve"> the model is grounded in the Midgard object fabric's data, logic, and actions. </w:t>
      </w:r>
      <w:r>
        <w:rPr>
          <w:rFonts w:ascii="Consolas" w:hAnsi="Consolas"/>
          <w:color w:val="0B4884"/>
          <w:sz w:val="18"/>
        </w:rPr>
        <w:t>[DD-1]</w:t>
      </w:r>
      <w:r>
        <w:rPr>
          <w:sz w:val="21"/>
        </w:rPr>
      </w:r>
    </w:p>
    <w:p>
      <w:pPr>
        <w:pStyle w:val="ListBullet"/>
      </w:pPr>
      <w:r>
        <w:rPr>
          <w:sz w:val="21"/>
        </w:rPr>
      </w:r>
      <w:r>
        <w:rPr>
          <w:b/>
          <w:sz w:val="21"/>
        </w:rPr>
        <w:t>Agent runtime</w:t>
      </w:r>
      <w:r>
        <w:rPr>
          <w:sz w:val="21"/>
        </w:rPr>
        <w:t xml:space="preserve"> with tools, memory, planning, and an Evals harness governing every agent. </w:t>
      </w:r>
      <w:r>
        <w:rPr>
          <w:rFonts w:ascii="Consolas" w:hAnsi="Consolas"/>
          <w:color w:val="0B4884"/>
          <w:sz w:val="18"/>
        </w:rPr>
        <w:t>[DD-5]</w:t>
      </w:r>
      <w:r>
        <w:rPr>
          <w:sz w:val="21"/>
        </w:rPr>
        <w:t xml:space="preserve"> </w:t>
      </w:r>
      <w:r>
        <w:rPr>
          <w:rFonts w:ascii="Consolas" w:hAnsi="Consolas"/>
          <w:color w:val="0B4884"/>
          <w:sz w:val="18"/>
        </w:rPr>
        <w:t>[NFR-AI-1]</w:t>
      </w:r>
      <w:r>
        <w:rPr>
          <w:sz w:val="21"/>
        </w:rPr>
      </w:r>
    </w:p>
    <w:p>
      <w:pPr>
        <w:pStyle w:val="ListBullet"/>
      </w:pPr>
      <w:r>
        <w:rPr>
          <w:sz w:val="21"/>
        </w:rPr>
      </w:r>
      <w:r>
        <w:rPr>
          <w:b/>
          <w:sz w:val="21"/>
        </w:rPr>
        <w:t>No-code + pro-code builders</w:t>
      </w:r>
      <w:r>
        <w:rPr>
          <w:sz w:val="21"/>
        </w:rPr>
        <w:t xml:space="preserve"> (Logic / Agent Studio equivalents) for AI functions and agents. </w:t>
      </w:r>
      <w:r>
        <w:rPr>
          <w:rFonts w:ascii="Consolas" w:hAnsi="Consolas"/>
          <w:color w:val="0B4884"/>
          <w:sz w:val="18"/>
        </w:rPr>
        <w:t>[FR-MI-4]</w:t>
      </w:r>
      <w:r>
        <w:rPr>
          <w:sz w:val="21"/>
        </w:rPr>
      </w:r>
    </w:p>
    <w:p>
      <w:pPr>
        <w:pStyle w:val="ListBullet"/>
      </w:pPr>
      <w:r>
        <w:rPr>
          <w:sz w:val="21"/>
        </w:rPr>
      </w:r>
      <w:r>
        <w:rPr>
          <w:b/>
          <w:sz w:val="21"/>
        </w:rPr>
        <w:t>PQ-native</w:t>
      </w:r>
      <w:r>
        <w:rPr>
          <w:sz w:val="21"/>
        </w:rPr>
        <w:t xml:space="preserve"> prompts, memory, and model artefacts encrypted; weights PQ-signed. </w:t>
      </w:r>
      <w:r>
        <w:rPr>
          <w:rFonts w:ascii="Consolas" w:hAnsi="Consolas"/>
          <w:color w:val="0B4884"/>
          <w:sz w:val="18"/>
        </w:rPr>
        <w:t>[NFR-PQ-2]</w:t>
      </w:r>
      <w:r>
        <w:rPr>
          <w:sz w:val="21"/>
        </w:rPr>
        <w:t xml:space="preserve"> </w:t>
      </w:r>
      <w:r>
        <w:rPr>
          <w:rFonts w:ascii="Consolas" w:hAnsi="Consolas"/>
          <w:color w:val="0B4884"/>
          <w:sz w:val="18"/>
        </w:rPr>
        <w:t>[NFR-PQ-3]</w:t>
      </w:r>
      <w:r>
        <w:rPr>
          <w:sz w:val="21"/>
        </w:rPr>
      </w:r>
    </w:p>
    <w:p>
      <w:pPr>
        <w:pStyle w:val="Heading2"/>
      </w:pPr>
      <w:r>
        <w:t>1.2 Top design risks</w:t>
      </w:r>
    </w:p>
    <w:p>
      <w:pPr>
        <w:pStyle w:val="ListBullet"/>
      </w:pPr>
      <w:r>
        <w:rPr>
          <w:sz w:val="21"/>
        </w:rPr>
      </w:r>
      <w:r>
        <w:rPr>
          <w:b/>
          <w:sz w:val="21"/>
        </w:rPr>
        <w:t>Autonomy vs. control:</w:t>
      </w:r>
      <w:r>
        <w:rPr>
          <w:sz w:val="21"/>
        </w:rPr>
        <w:t xml:space="preserve"> agentic self-\* behaviour must never bypass governance; mitigated by mandatory Evals + human-gating on state mutation. </w:t>
      </w:r>
      <w:r>
        <w:rPr>
          <w:rFonts w:ascii="Consolas" w:hAnsi="Consolas"/>
          <w:color w:val="0B4884"/>
          <w:sz w:val="18"/>
        </w:rPr>
        <w:t>[NFR-AI-1]</w:t>
      </w:r>
      <w:r>
        <w:rPr>
          <w:sz w:val="21"/>
        </w:rPr>
      </w:r>
    </w:p>
    <w:p>
      <w:pPr>
        <w:pStyle w:val="ListBullet"/>
      </w:pPr>
      <w:r>
        <w:rPr>
          <w:sz w:val="21"/>
        </w:rPr>
      </w:r>
      <w:r>
        <w:rPr>
          <w:b/>
          <w:sz w:val="21"/>
        </w:rPr>
        <w:t>Local inference cost:</w:t>
      </w:r>
      <w:r>
        <w:rPr>
          <w:sz w:val="21"/>
        </w:rPr>
        <w:t xml:space="preserve"> GPU capacity constrains throughput; mitigated by batching, quantisation, and horizontal GPU scaling. </w:t>
      </w:r>
      <w:r>
        <w:rPr>
          <w:rFonts w:ascii="Consolas" w:hAnsi="Consolas"/>
          <w:color w:val="0B4884"/>
          <w:sz w:val="18"/>
        </w:rPr>
        <w:t>[NFR-PERF-1]</w:t>
      </w:r>
      <w:r>
        <w:rPr>
          <w:sz w:val="21"/>
        </w:rPr>
      </w:r>
    </w:p>
    <w:p>
      <w:pPr>
        <w:pStyle w:val="ListBullet"/>
      </w:pPr>
      <w:r>
        <w:rPr>
          <w:sz w:val="21"/>
        </w:rPr>
      </w:r>
      <w:r>
        <w:rPr>
          <w:b/>
          <w:sz w:val="21"/>
        </w:rPr>
        <w:t>Prompt-injection / model exfiltration:</w:t>
      </w:r>
      <w:r>
        <w:rPr>
          <w:sz w:val="21"/>
        </w:rPr>
        <w:t xml:space="preserve"> mitigated by the self-defending guardrail layer and strict tool-scoping. </w:t>
      </w:r>
      <w:r>
        <w:rPr>
          <w:rFonts w:ascii="Consolas" w:hAnsi="Consolas"/>
          <w:color w:val="0B4884"/>
          <w:sz w:val="18"/>
        </w:rPr>
        <w:t>[DD-5]</w:t>
      </w:r>
      <w:r>
        <w:rPr>
          <w:sz w:val="21"/>
        </w:rPr>
      </w:r>
    </w:p>
    <w:p>
      <w:pPr>
        <w:pStyle w:val="Heading1"/>
      </w:pPr>
      <w:r>
        <w:t>2. Introduction &amp; Scope</w:t>
      </w:r>
    </w:p>
    <w:p>
      <w:pPr>
        <w:pStyle w:val="Heading2"/>
      </w:pPr>
      <w:r>
        <w:t>2.1 Purpose</w:t>
      </w:r>
    </w:p>
    <w:p>
      <w:r>
        <w:rPr>
          <w:sz w:val="21"/>
        </w:rPr>
        <w:t>To define Mimir's target architecture as both the AIP-competitor product and the shared local-inference layer for the suite: model serving, OAG grounding, the agent runtime, the self-\* control loops, and the governance/Evals framework.</w:t>
      </w:r>
    </w:p>
    <w:p>
      <w:pPr>
        <w:pStyle w:val="Heading2"/>
      </w:pPr>
      <w:r>
        <w:t>2.2 Audience</w:t>
      </w:r>
    </w:p>
    <w:p>
      <w:pPr>
        <w:pStyle w:val="ListBullet"/>
      </w:pPr>
      <w:r>
        <w:rPr>
          <w:sz w:val="21"/>
        </w:rPr>
        <w:t>AI/ML engineers and agent authors.</w:t>
      </w:r>
    </w:p>
    <w:p>
      <w:pPr>
        <w:pStyle w:val="ListBullet"/>
      </w:pPr>
      <w:r>
        <w:rPr>
          <w:sz w:val="21"/>
        </w:rPr>
        <w:t>Governance and safety reviewers.</w:t>
      </w:r>
    </w:p>
    <w:p>
      <w:pPr>
        <w:pStyle w:val="ListBullet"/>
      </w:pPr>
      <w:r>
        <w:rPr>
          <w:sz w:val="21"/>
        </w:rPr>
        <w:t>Product teams consuming Mimir inference.</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w:t>
            </w:r>
          </w:p>
        </w:tc>
      </w:tr>
      <w:tr>
        <w:tc>
          <w:tcPr>
            <w:tcW w:type="dxa" w:w="4896"/>
            <w:tcMar>
              <w:top w:w="60" w:type="dxa"/>
              <w:bottom w:w="60" w:type="dxa"/>
              <w:start w:w="90" w:type="dxa"/>
              <w:end w:w="90" w:type="dxa"/>
            </w:tcMar>
            <w:shd w:val="clear" w:fill="FFFFFF"/>
          </w:tcPr>
          <w:p>
            <w:r>
              <w:rPr>
                <w:b w:val="0"/>
                <w:sz w:val="17"/>
              </w:rPr>
              <w:t>Model serving, OAG, agent runtime, self-* loops, Evals, guardrails</w:t>
            </w:r>
          </w:p>
        </w:tc>
        <w:tc>
          <w:tcPr>
            <w:tcW w:type="dxa" w:w="4896"/>
            <w:tcMar>
              <w:top w:w="60" w:type="dxa"/>
              <w:bottom w:w="60" w:type="dxa"/>
              <w:start w:w="90" w:type="dxa"/>
              <w:end w:w="90" w:type="dxa"/>
            </w:tcMar>
            <w:shd w:val="clear" w:fill="FFFFFF"/>
          </w:tcPr>
          <w:p>
            <w:r>
              <w:rPr>
                <w:b w:val="0"/>
                <w:sz w:val="17"/>
              </w:rPr>
              <w:t>Object fabric internals (Midgard SAD)</w:t>
            </w:r>
          </w:p>
        </w:tc>
      </w:tr>
      <w:tr>
        <w:tc>
          <w:tcPr>
            <w:tcW w:type="dxa" w:w="4896"/>
            <w:tcMar>
              <w:top w:w="60" w:type="dxa"/>
              <w:bottom w:w="60" w:type="dxa"/>
              <w:start w:w="90" w:type="dxa"/>
              <w:end w:w="90" w:type="dxa"/>
            </w:tcMar>
            <w:shd w:val="clear" w:fill="EEF3F8"/>
          </w:tcPr>
          <w:p>
            <w:r>
              <w:rPr>
                <w:b w:val="0"/>
                <w:sz w:val="17"/>
              </w:rPr>
              <w:t>Mimir builders (Logic / Agent Studio equivalents), MCP tools</w:t>
            </w:r>
          </w:p>
        </w:tc>
        <w:tc>
          <w:tcPr>
            <w:tcW w:type="dxa" w:w="4896"/>
            <w:tcMar>
              <w:top w:w="60" w:type="dxa"/>
              <w:bottom w:w="60" w:type="dxa"/>
              <w:start w:w="90" w:type="dxa"/>
              <w:end w:w="90" w:type="dxa"/>
            </w:tcMar>
            <w:shd w:val="clear" w:fill="EEF3F8"/>
          </w:tcPr>
          <w:p>
            <w:r>
              <w:rPr>
                <w:b w:val="0"/>
                <w:sz w:val="17"/>
              </w:rPr>
              <w:t>Data pipeline internals (Forge SAD)</w:t>
            </w:r>
          </w:p>
        </w:tc>
      </w:tr>
    </w:tbl>
    <w:p/>
    <w:p>
      <w:pPr>
        <w:pStyle w:val="Heading2"/>
      </w:pPr>
      <w:r>
        <w:t>2.4 Definitions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GLM 5.2</w:t>
            </w:r>
          </w:p>
        </w:tc>
        <w:tc>
          <w:tcPr>
            <w:tcW w:type="dxa" w:w="4896"/>
            <w:tcMar>
              <w:top w:w="60" w:type="dxa"/>
              <w:bottom w:w="60" w:type="dxa"/>
              <w:start w:w="90" w:type="dxa"/>
              <w:end w:w="90" w:type="dxa"/>
            </w:tcMar>
            <w:shd w:val="clear" w:fill="EEF3F8"/>
          </w:tcPr>
          <w:p>
            <w:r>
              <w:rPr>
                <w:b w:val="0"/>
                <w:sz w:val="17"/>
              </w:rPr>
              <w:t>A large language model served locally by Mimir. As of the model-supply resolution, Mimir supports the most advanced locally-runnable variants of three families — GLM, NVIDIA Nemotron, and Google Gemma — selectable per workflow.</w:t>
            </w:r>
          </w:p>
        </w:tc>
      </w:tr>
      <w:tr>
        <w:tc>
          <w:tcPr>
            <w:tcW w:type="dxa" w:w="4896"/>
            <w:tcMar>
              <w:top w:w="60" w:type="dxa"/>
              <w:bottom w:w="60" w:type="dxa"/>
              <w:start w:w="90" w:type="dxa"/>
              <w:end w:w="90" w:type="dxa"/>
            </w:tcMar>
            <w:shd w:val="clear" w:fill="FFFFFF"/>
          </w:tcPr>
          <w:p>
            <w:r>
              <w:rPr>
                <w:b w:val="0"/>
                <w:sz w:val="17"/>
              </w:rPr>
              <w:t>Object fabric</w:t>
            </w:r>
          </w:p>
        </w:tc>
        <w:tc>
          <w:tcPr>
            <w:tcW w:type="dxa" w:w="4896"/>
            <w:tcMar>
              <w:top w:w="60" w:type="dxa"/>
              <w:bottom w:w="60" w:type="dxa"/>
              <w:start w:w="90" w:type="dxa"/>
              <w:end w:w="90" w:type="dxa"/>
            </w:tcMar>
            <w:shd w:val="clear" w:fill="FFFFFF"/>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EEF3F8"/>
          </w:tcPr>
          <w:p>
            <w:r>
              <w:rPr>
                <w:b w:val="0"/>
                <w:sz w:val="17"/>
              </w:rPr>
              <w:t>OAG</w:t>
            </w:r>
          </w:p>
        </w:tc>
        <w:tc>
          <w:tcPr>
            <w:tcW w:type="dxa" w:w="4896"/>
            <w:tcMar>
              <w:top w:w="60" w:type="dxa"/>
              <w:bottom w:w="60" w:type="dxa"/>
              <w:start w:w="90" w:type="dxa"/>
              <w:end w:w="90" w:type="dxa"/>
            </w:tcMar>
            <w:shd w:val="clear" w:fill="EEF3F8"/>
          </w:tcPr>
          <w:p>
            <w:r>
              <w:rPr>
                <w:b w:val="0"/>
                <w:sz w:val="17"/>
              </w:rPr>
              <w:t>Ontology-Augmented Generation: grounding the LLM in the object fabric's data, logic, and actions.</w:t>
            </w:r>
          </w:p>
        </w:tc>
      </w:tr>
      <w:tr>
        <w:tc>
          <w:tcPr>
            <w:tcW w:type="dxa" w:w="4896"/>
            <w:tcMar>
              <w:top w:w="60" w:type="dxa"/>
              <w:bottom w:w="60" w:type="dxa"/>
              <w:start w:w="90" w:type="dxa"/>
              <w:end w:w="90" w:type="dxa"/>
            </w:tcMar>
            <w:shd w:val="clear" w:fill="FFFFFF"/>
          </w:tcPr>
          <w:p>
            <w:r>
              <w:rPr>
                <w:b w:val="0"/>
                <w:sz w:val="17"/>
              </w:rPr>
              <w:t>Enclosure</w:t>
            </w:r>
          </w:p>
        </w:tc>
        <w:tc>
          <w:tcPr>
            <w:tcW w:type="dxa" w:w="4896"/>
            <w:tcMar>
              <w:top w:w="60" w:type="dxa"/>
              <w:bottom w:w="60" w:type="dxa"/>
              <w:start w:w="90" w:type="dxa"/>
              <w:end w:w="90" w:type="dxa"/>
            </w:tcMar>
            <w:shd w:val="clear" w:fill="FFFFFF"/>
          </w:tcPr>
          <w:p>
            <w:r>
              <w:rPr>
                <w:b w:val="0"/>
                <w:sz w:val="17"/>
              </w:rPr>
              <w:t>The Midgard trust boundary; the defended, sovereign space within which all products run.</w:t>
            </w:r>
          </w:p>
        </w:tc>
      </w:tr>
    </w:tbl>
    <w:p/>
    <w:p>
      <w:pPr>
        <w:pStyle w:val="Heading1"/>
      </w:pPr>
      <w:r>
        <w:t>3. Business &amp; Solution Context</w:t>
      </w:r>
    </w:p>
    <w:p>
      <w:pPr>
        <w:pStyle w:val="Heading2"/>
      </w:pPr>
      <w:r>
        <w:t>3.1 Competitive positioning</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Capability</w:t>
            </w:r>
          </w:p>
        </w:tc>
        <w:tc>
          <w:tcPr>
            <w:tcW w:type="dxa" w:w="3264"/>
            <w:shd w:val="clear" w:fill="0B4884"/>
            <w:tcMar>
              <w:top w:w="60" w:type="dxa"/>
              <w:bottom w:w="60" w:type="dxa"/>
              <w:start w:w="90" w:type="dxa"/>
              <w:end w:w="90" w:type="dxa"/>
            </w:tcMar>
          </w:tcPr>
          <w:p>
            <w:r>
              <w:rPr>
                <w:b/>
                <w:color w:val="FFFFFF"/>
                <w:sz w:val="18"/>
              </w:rPr>
              <w:t>Palantir AIP</w:t>
            </w:r>
          </w:p>
        </w:tc>
        <w:tc>
          <w:tcPr>
            <w:tcW w:type="dxa" w:w="3264"/>
            <w:shd w:val="clear" w:fill="0B4884"/>
            <w:tcMar>
              <w:top w:w="60" w:type="dxa"/>
              <w:bottom w:w="60" w:type="dxa"/>
              <w:start w:w="90" w:type="dxa"/>
              <w:end w:w="90" w:type="dxa"/>
            </w:tcMar>
          </w:tcPr>
          <w:p>
            <w:r>
              <w:rPr>
                <w:b/>
                <w:color w:val="FFFFFF"/>
                <w:sz w:val="18"/>
              </w:rPr>
              <w:t>Mimir (design intent)</w:t>
            </w:r>
          </w:p>
        </w:tc>
      </w:tr>
      <w:tr>
        <w:tc>
          <w:tcPr>
            <w:tcW w:type="dxa" w:w="3264"/>
            <w:tcMar>
              <w:top w:w="60" w:type="dxa"/>
              <w:bottom w:w="60" w:type="dxa"/>
              <w:start w:w="90" w:type="dxa"/>
              <w:end w:w="90" w:type="dxa"/>
            </w:tcMar>
            <w:shd w:val="clear" w:fill="FFFFFF"/>
          </w:tcPr>
          <w:p>
            <w:r>
              <w:rPr>
                <w:b w:val="0"/>
                <w:sz w:val="17"/>
              </w:rPr>
              <w:t>Model access</w:t>
            </w:r>
          </w:p>
        </w:tc>
        <w:tc>
          <w:tcPr>
            <w:tcW w:type="dxa" w:w="3264"/>
            <w:tcMar>
              <w:top w:w="60" w:type="dxa"/>
              <w:bottom w:w="60" w:type="dxa"/>
              <w:start w:w="90" w:type="dxa"/>
              <w:end w:w="90" w:type="dxa"/>
            </w:tcMar>
            <w:shd w:val="clear" w:fill="FFFFFF"/>
          </w:tcPr>
          <w:p>
            <w:r>
              <w:rPr>
                <w:b w:val="0"/>
                <w:sz w:val="17"/>
              </w:rPr>
              <w:t>k-LLM, third-party hosted models</w:t>
            </w:r>
          </w:p>
        </w:tc>
        <w:tc>
          <w:tcPr>
            <w:tcW w:type="dxa" w:w="3264"/>
            <w:tcMar>
              <w:top w:w="60" w:type="dxa"/>
              <w:bottom w:w="60" w:type="dxa"/>
              <w:start w:w="90" w:type="dxa"/>
              <w:end w:w="90" w:type="dxa"/>
            </w:tcMar>
            <w:shd w:val="clear" w:fill="FFFFFF"/>
          </w:tcPr>
          <w:p>
            <w:r>
              <w:rPr>
                <w:b w:val="0"/>
                <w:sz w:val="17"/>
              </w:rPr>
              <w:t>Local GLM 5.2, in-enclosure only `[DD-4]`</w:t>
            </w:r>
          </w:p>
        </w:tc>
      </w:tr>
      <w:tr>
        <w:tc>
          <w:tcPr>
            <w:tcW w:type="dxa" w:w="3264"/>
            <w:tcMar>
              <w:top w:w="60" w:type="dxa"/>
              <w:bottom w:w="60" w:type="dxa"/>
              <w:start w:w="90" w:type="dxa"/>
              <w:end w:w="90" w:type="dxa"/>
            </w:tcMar>
            <w:shd w:val="clear" w:fill="EEF3F8"/>
          </w:tcPr>
          <w:p>
            <w:r>
              <w:rPr>
                <w:b w:val="0"/>
                <w:sz w:val="17"/>
              </w:rPr>
              <w:t>Grounding</w:t>
            </w:r>
          </w:p>
        </w:tc>
        <w:tc>
          <w:tcPr>
            <w:tcW w:type="dxa" w:w="3264"/>
            <w:tcMar>
              <w:top w:w="60" w:type="dxa"/>
              <w:bottom w:w="60" w:type="dxa"/>
              <w:start w:w="90" w:type="dxa"/>
              <w:end w:w="90" w:type="dxa"/>
            </w:tcMar>
            <w:shd w:val="clear" w:fill="EEF3F8"/>
          </w:tcPr>
          <w:p>
            <w:r>
              <w:rPr>
                <w:b w:val="0"/>
                <w:sz w:val="17"/>
              </w:rPr>
              <w:t>Ontology-augmented</w:t>
            </w:r>
          </w:p>
        </w:tc>
        <w:tc>
          <w:tcPr>
            <w:tcW w:type="dxa" w:w="3264"/>
            <w:tcMar>
              <w:top w:w="60" w:type="dxa"/>
              <w:bottom w:w="60" w:type="dxa"/>
              <w:start w:w="90" w:type="dxa"/>
              <w:end w:w="90" w:type="dxa"/>
            </w:tcMar>
            <w:shd w:val="clear" w:fill="EEF3F8"/>
          </w:tcPr>
          <w:p>
            <w:r>
              <w:rPr>
                <w:b w:val="0"/>
                <w:sz w:val="17"/>
              </w:rPr>
              <w:t>OAG on Midgard object fabric `[DD-1]`</w:t>
            </w:r>
          </w:p>
        </w:tc>
      </w:tr>
      <w:tr>
        <w:tc>
          <w:tcPr>
            <w:tcW w:type="dxa" w:w="3264"/>
            <w:tcMar>
              <w:top w:w="60" w:type="dxa"/>
              <w:bottom w:w="60" w:type="dxa"/>
              <w:start w:w="90" w:type="dxa"/>
              <w:end w:w="90" w:type="dxa"/>
            </w:tcMar>
            <w:shd w:val="clear" w:fill="FFFFFF"/>
          </w:tcPr>
          <w:p>
            <w:r>
              <w:rPr>
                <w:b w:val="0"/>
                <w:sz w:val="17"/>
              </w:rPr>
              <w:t>Agents</w:t>
            </w:r>
          </w:p>
        </w:tc>
        <w:tc>
          <w:tcPr>
            <w:tcW w:type="dxa" w:w="3264"/>
            <w:tcMar>
              <w:top w:w="60" w:type="dxa"/>
              <w:bottom w:w="60" w:type="dxa"/>
              <w:start w:w="90" w:type="dxa"/>
              <w:end w:w="90" w:type="dxa"/>
            </w:tcMar>
            <w:shd w:val="clear" w:fill="FFFFFF"/>
          </w:tcPr>
          <w:p>
            <w:r>
              <w:rPr>
                <w:b w:val="0"/>
                <w:sz w:val="17"/>
              </w:rPr>
              <w:t>Agent Studio, Logic, Evals</w:t>
            </w:r>
          </w:p>
        </w:tc>
        <w:tc>
          <w:tcPr>
            <w:tcW w:type="dxa" w:w="3264"/>
            <w:tcMar>
              <w:top w:w="60" w:type="dxa"/>
              <w:bottom w:w="60" w:type="dxa"/>
              <w:start w:w="90" w:type="dxa"/>
              <w:end w:w="90" w:type="dxa"/>
            </w:tcMar>
            <w:shd w:val="clear" w:fill="FFFFFF"/>
          </w:tcPr>
          <w:p>
            <w:r>
              <w:rPr>
                <w:b w:val="0"/>
                <w:sz w:val="17"/>
              </w:rPr>
              <w:t>Agent runtime + self-* loops + Evals `[DD-5]`</w:t>
            </w:r>
          </w:p>
        </w:tc>
      </w:tr>
      <w:tr>
        <w:tc>
          <w:tcPr>
            <w:tcW w:type="dxa" w:w="3264"/>
            <w:tcMar>
              <w:top w:w="60" w:type="dxa"/>
              <w:bottom w:w="60" w:type="dxa"/>
              <w:start w:w="90" w:type="dxa"/>
              <w:end w:w="90" w:type="dxa"/>
            </w:tcMar>
            <w:shd w:val="clear" w:fill="EEF3F8"/>
          </w:tcPr>
          <w:p>
            <w:r>
              <w:rPr>
                <w:b w:val="0"/>
                <w:sz w:val="17"/>
              </w:rPr>
              <w:t>Autonomy</w:t>
            </w:r>
          </w:p>
        </w:tc>
        <w:tc>
          <w:tcPr>
            <w:tcW w:type="dxa" w:w="3264"/>
            <w:tcMar>
              <w:top w:w="60" w:type="dxa"/>
              <w:bottom w:w="60" w:type="dxa"/>
              <w:start w:w="90" w:type="dxa"/>
              <w:end w:w="90" w:type="dxa"/>
            </w:tcMar>
            <w:shd w:val="clear" w:fill="EEF3F8"/>
          </w:tcPr>
          <w:p>
            <w:r>
              <w:rPr>
                <w:b w:val="0"/>
                <w:sz w:val="17"/>
              </w:rPr>
              <w:t>Human-in-the-loop</w:t>
            </w:r>
          </w:p>
        </w:tc>
        <w:tc>
          <w:tcPr>
            <w:tcW w:type="dxa" w:w="3264"/>
            <w:tcMar>
              <w:top w:w="60" w:type="dxa"/>
              <w:bottom w:w="60" w:type="dxa"/>
              <w:start w:w="90" w:type="dxa"/>
              <w:end w:w="90" w:type="dxa"/>
            </w:tcMar>
            <w:shd w:val="clear" w:fill="EEF3F8"/>
          </w:tcPr>
          <w:p>
            <w:r>
              <w:rPr>
                <w:b w:val="0"/>
                <w:sz w:val="17"/>
              </w:rPr>
              <w:t>Agentic self-learn/heal/defend, governed `[DD-5]`</w:t>
            </w:r>
          </w:p>
        </w:tc>
      </w:tr>
      <w:tr>
        <w:tc>
          <w:tcPr>
            <w:tcW w:type="dxa" w:w="3264"/>
            <w:tcMar>
              <w:top w:w="60" w:type="dxa"/>
              <w:bottom w:w="60" w:type="dxa"/>
              <w:start w:w="90" w:type="dxa"/>
              <w:end w:w="90" w:type="dxa"/>
            </w:tcMar>
            <w:shd w:val="clear" w:fill="FFFFFF"/>
          </w:tcPr>
          <w:p>
            <w:r>
              <w:rPr>
                <w:b w:val="0"/>
                <w:sz w:val="17"/>
              </w:rPr>
              <w:t>Sovereignty</w:t>
            </w:r>
          </w:p>
        </w:tc>
        <w:tc>
          <w:tcPr>
            <w:tcW w:type="dxa" w:w="3264"/>
            <w:tcMar>
              <w:top w:w="60" w:type="dxa"/>
              <w:bottom w:w="60" w:type="dxa"/>
              <w:start w:w="90" w:type="dxa"/>
              <w:end w:w="90" w:type="dxa"/>
            </w:tcMar>
            <w:shd w:val="clear" w:fill="FFFFFF"/>
          </w:tcPr>
          <w:p>
            <w:r>
              <w:rPr>
                <w:b w:val="0"/>
                <w:sz w:val="17"/>
              </w:rPr>
              <w:t>Cloud-mediated</w:t>
            </w:r>
          </w:p>
        </w:tc>
        <w:tc>
          <w:tcPr>
            <w:tcW w:type="dxa" w:w="3264"/>
            <w:tcMar>
              <w:top w:w="60" w:type="dxa"/>
              <w:bottom w:w="60" w:type="dxa"/>
              <w:start w:w="90" w:type="dxa"/>
              <w:end w:w="90" w:type="dxa"/>
            </w:tcMar>
            <w:shd w:val="clear" w:fill="FFFFFF"/>
          </w:tcPr>
          <w:p>
            <w:r>
              <w:rPr>
                <w:b w:val="0"/>
                <w:sz w:val="17"/>
              </w:rPr>
              <w:t>Air-gap capable, PQ-native `[DD-7]` `[NFR-PQ-2]`</w:t>
            </w:r>
          </w:p>
        </w:tc>
      </w:tr>
    </w:tbl>
    <w:p/>
    <w:p>
      <w:pPr>
        <w:pStyle w:val="Heading2"/>
      </w:pPr>
      <w:r>
        <w:t>3.2 System context (C4 L1)</w:t>
      </w:r>
    </w:p>
    <w:p>
      <w:pPr>
        <w:jc w:val="center"/>
      </w:pPr>
      <w:r>
        <w:drawing>
          <wp:inline xmlns:a="http://schemas.openxmlformats.org/drawingml/2006/main" xmlns:pic="http://schemas.openxmlformats.org/drawingml/2006/picture">
            <wp:extent cx="6035040" cy="2586446"/>
            <wp:docPr id="1" name="Picture 1"/>
            <wp:cNvGraphicFramePr>
              <a:graphicFrameLocks noChangeAspect="1"/>
            </wp:cNvGraphicFramePr>
            <a:graphic>
              <a:graphicData uri="http://schemas.openxmlformats.org/drawingml/2006/picture">
                <pic:pic>
                  <pic:nvPicPr>
                    <pic:cNvPr id="0" name="mimir_c4_context.png"/>
                    <pic:cNvPicPr/>
                  </pic:nvPicPr>
                  <pic:blipFill>
                    <a:blip r:embed="rId9"/>
                    <a:stretch>
                      <a:fillRect/>
                    </a:stretch>
                  </pic:blipFill>
                  <pic:spPr>
                    <a:xfrm>
                      <a:off x="0" y="0"/>
                      <a:ext cx="6035040" cy="2586446"/>
                    </a:xfrm>
                    <a:prstGeom prst="rect"/>
                  </pic:spPr>
                </pic:pic>
              </a:graphicData>
            </a:graphic>
          </wp:inline>
        </w:drawing>
      </w:r>
    </w:p>
    <w:p>
      <w:pPr>
        <w:jc w:val="center"/>
      </w:pPr>
      <w:r>
        <w:rPr>
          <w:i/>
          <w:color w:val="595959"/>
          <w:sz w:val="17"/>
        </w:rPr>
        <w:t>Figure 3.1 — Mimir as product and shared inference service within the enclosure.</w:t>
      </w:r>
    </w:p>
    <w:p/>
    <w:p>
      <w:pPr>
        <w:pStyle w:val="Heading1"/>
      </w:pPr>
      <w:r>
        <w:t>4. Architecture Drivers</w:t>
      </w:r>
    </w:p>
    <w:p>
      <w:pPr>
        <w:pStyle w:val="Heading2"/>
      </w:pPr>
      <w:r>
        <w:t>4.1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FR-MI-1</w:t>
            </w:r>
          </w:p>
        </w:tc>
        <w:tc>
          <w:tcPr>
            <w:tcW w:type="dxa" w:w="4896"/>
            <w:tcMar>
              <w:top w:w="60" w:type="dxa"/>
              <w:bottom w:w="60" w:type="dxa"/>
              <w:start w:w="90" w:type="dxa"/>
              <w:end w:w="90" w:type="dxa"/>
            </w:tcMar>
            <w:shd w:val="clear" w:fill="FFFFFF"/>
          </w:tcPr>
          <w:p>
            <w:r>
              <w:rPr>
                <w:b w:val="0"/>
                <w:sz w:val="17"/>
              </w:rPr>
              <w:t>Serve models locally with batching, KV-cache, and quantisation; expose a typed inference API. Supported families: GLM, NVIDIA Nemotron, Google Gemma (see the Model-Supply Resolution DCR).</w:t>
            </w:r>
          </w:p>
        </w:tc>
      </w:tr>
      <w:tr>
        <w:tc>
          <w:tcPr>
            <w:tcW w:type="dxa" w:w="4896"/>
            <w:tcMar>
              <w:top w:w="60" w:type="dxa"/>
              <w:bottom w:w="60" w:type="dxa"/>
              <w:start w:w="90" w:type="dxa"/>
              <w:end w:w="90" w:type="dxa"/>
            </w:tcMar>
            <w:shd w:val="clear" w:fill="EEF3F8"/>
          </w:tcPr>
          <w:p>
            <w:r>
              <w:rPr>
                <w:b w:val="0"/>
                <w:sz w:val="17"/>
              </w:rPr>
              <w:t>FR-MI-2</w:t>
            </w:r>
          </w:p>
        </w:tc>
        <w:tc>
          <w:tcPr>
            <w:tcW w:type="dxa" w:w="4896"/>
            <w:tcMar>
              <w:top w:w="60" w:type="dxa"/>
              <w:bottom w:w="60" w:type="dxa"/>
              <w:start w:w="90" w:type="dxa"/>
              <w:end w:w="90" w:type="dxa"/>
            </w:tcMar>
            <w:shd w:val="clear" w:fill="EEF3F8"/>
          </w:tcPr>
          <w:p>
            <w:r>
              <w:rPr>
                <w:b w:val="0"/>
                <w:sz w:val="17"/>
              </w:rPr>
              <w:t>Ground generation in the object fabric (OAG): retrieve objects/logic/actions with citations.</w:t>
            </w:r>
          </w:p>
        </w:tc>
      </w:tr>
      <w:tr>
        <w:tc>
          <w:tcPr>
            <w:tcW w:type="dxa" w:w="4896"/>
            <w:tcMar>
              <w:top w:w="60" w:type="dxa"/>
              <w:bottom w:w="60" w:type="dxa"/>
              <w:start w:w="90" w:type="dxa"/>
              <w:end w:w="90" w:type="dxa"/>
            </w:tcMar>
            <w:shd w:val="clear" w:fill="FFFFFF"/>
          </w:tcPr>
          <w:p>
            <w:r>
              <w:rPr>
                <w:b w:val="0"/>
                <w:sz w:val="17"/>
              </w:rPr>
              <w:t>FR-MI-3</w:t>
            </w:r>
          </w:p>
        </w:tc>
        <w:tc>
          <w:tcPr>
            <w:tcW w:type="dxa" w:w="4896"/>
            <w:tcMar>
              <w:top w:w="60" w:type="dxa"/>
              <w:bottom w:w="60" w:type="dxa"/>
              <w:start w:w="90" w:type="dxa"/>
              <w:end w:w="90" w:type="dxa"/>
            </w:tcMar>
            <w:shd w:val="clear" w:fill="FFFFFF"/>
          </w:tcPr>
          <w:p>
            <w:r>
              <w:rPr>
                <w:b w:val="0"/>
                <w:sz w:val="17"/>
              </w:rPr>
              <w:t>Provide an agent runtime with tools, memory, planning, and per-agent Evals.</w:t>
            </w:r>
          </w:p>
        </w:tc>
      </w:tr>
      <w:tr>
        <w:tc>
          <w:tcPr>
            <w:tcW w:type="dxa" w:w="4896"/>
            <w:tcMar>
              <w:top w:w="60" w:type="dxa"/>
              <w:bottom w:w="60" w:type="dxa"/>
              <w:start w:w="90" w:type="dxa"/>
              <w:end w:w="90" w:type="dxa"/>
            </w:tcMar>
            <w:shd w:val="clear" w:fill="EEF3F8"/>
          </w:tcPr>
          <w:p>
            <w:r>
              <w:rPr>
                <w:b w:val="0"/>
                <w:sz w:val="17"/>
              </w:rPr>
              <w:t>FR-MI-4</w:t>
            </w:r>
          </w:p>
        </w:tc>
        <w:tc>
          <w:tcPr>
            <w:tcW w:type="dxa" w:w="4896"/>
            <w:tcMar>
              <w:top w:w="60" w:type="dxa"/>
              <w:bottom w:w="60" w:type="dxa"/>
              <w:start w:w="90" w:type="dxa"/>
              <w:end w:w="90" w:type="dxa"/>
            </w:tcMar>
            <w:shd w:val="clear" w:fill="EEF3F8"/>
          </w:tcPr>
          <w:p>
            <w:r>
              <w:rPr>
                <w:b w:val="0"/>
                <w:sz w:val="17"/>
              </w:rPr>
              <w:t>Provide no-code (Logic) and pro-code builders for AI functions and agents.</w:t>
            </w:r>
          </w:p>
        </w:tc>
      </w:tr>
      <w:tr>
        <w:tc>
          <w:tcPr>
            <w:tcW w:type="dxa" w:w="4896"/>
            <w:tcMar>
              <w:top w:w="60" w:type="dxa"/>
              <w:bottom w:w="60" w:type="dxa"/>
              <w:start w:w="90" w:type="dxa"/>
              <w:end w:w="90" w:type="dxa"/>
            </w:tcMar>
            <w:shd w:val="clear" w:fill="FFFFFF"/>
          </w:tcPr>
          <w:p>
            <w:r>
              <w:rPr>
                <w:b w:val="0"/>
                <w:sz w:val="17"/>
              </w:rPr>
              <w:t>FR-MI-5</w:t>
            </w:r>
          </w:p>
        </w:tc>
        <w:tc>
          <w:tcPr>
            <w:tcW w:type="dxa" w:w="4896"/>
            <w:tcMar>
              <w:top w:w="60" w:type="dxa"/>
              <w:bottom w:w="60" w:type="dxa"/>
              <w:start w:w="90" w:type="dxa"/>
              <w:end w:w="90" w:type="dxa"/>
            </w:tcMar>
            <w:shd w:val="clear" w:fill="FFFFFF"/>
          </w:tcPr>
          <w:p>
            <w:r>
              <w:rPr>
                <w:b w:val="0"/>
                <w:sz w:val="17"/>
              </w:rPr>
              <w:t>Self-learning: incorporate governed feedback into retrieval and prompt/policy state.</w:t>
            </w:r>
          </w:p>
        </w:tc>
      </w:tr>
      <w:tr>
        <w:tc>
          <w:tcPr>
            <w:tcW w:type="dxa" w:w="4896"/>
            <w:tcMar>
              <w:top w:w="60" w:type="dxa"/>
              <w:bottom w:w="60" w:type="dxa"/>
              <w:start w:w="90" w:type="dxa"/>
              <w:end w:w="90" w:type="dxa"/>
            </w:tcMar>
            <w:shd w:val="clear" w:fill="EEF3F8"/>
          </w:tcPr>
          <w:p>
            <w:r>
              <w:rPr>
                <w:b w:val="0"/>
                <w:sz w:val="17"/>
              </w:rPr>
              <w:t>FR-MI-6</w:t>
            </w:r>
          </w:p>
        </w:tc>
        <w:tc>
          <w:tcPr>
            <w:tcW w:type="dxa" w:w="4896"/>
            <w:tcMar>
              <w:top w:w="60" w:type="dxa"/>
              <w:bottom w:w="60" w:type="dxa"/>
              <w:start w:w="90" w:type="dxa"/>
              <w:end w:w="90" w:type="dxa"/>
            </w:tcMar>
            <w:shd w:val="clear" w:fill="EEF3F8"/>
          </w:tcPr>
          <w:p>
            <w:r>
              <w:rPr>
                <w:b w:val="0"/>
                <w:sz w:val="17"/>
              </w:rPr>
              <w:t>Self-healing: detect degraded inference / failed tools and re-route, retry, or roll back.</w:t>
            </w:r>
          </w:p>
        </w:tc>
      </w:tr>
      <w:tr>
        <w:tc>
          <w:tcPr>
            <w:tcW w:type="dxa" w:w="4896"/>
            <w:tcMar>
              <w:top w:w="60" w:type="dxa"/>
              <w:bottom w:w="60" w:type="dxa"/>
              <w:start w:w="90" w:type="dxa"/>
              <w:end w:w="90" w:type="dxa"/>
            </w:tcMar>
            <w:shd w:val="clear" w:fill="FFFFFF"/>
          </w:tcPr>
          <w:p>
            <w:r>
              <w:rPr>
                <w:b w:val="0"/>
                <w:sz w:val="17"/>
              </w:rPr>
              <w:t>FR-MI-7</w:t>
            </w:r>
          </w:p>
        </w:tc>
        <w:tc>
          <w:tcPr>
            <w:tcW w:type="dxa" w:w="4896"/>
            <w:tcMar>
              <w:top w:w="60" w:type="dxa"/>
              <w:bottom w:w="60" w:type="dxa"/>
              <w:start w:w="90" w:type="dxa"/>
              <w:end w:w="90" w:type="dxa"/>
            </w:tcMar>
            <w:shd w:val="clear" w:fill="FFFFFF"/>
          </w:tcPr>
          <w:p>
            <w:r>
              <w:rPr>
                <w:b w:val="0"/>
                <w:sz w:val="17"/>
              </w:rPr>
              <w:t>Self-defending: filter prompt-injection and adversarial input; scope tools; block exfiltration.</w:t>
            </w:r>
          </w:p>
        </w:tc>
      </w:tr>
      <w:tr>
        <w:tc>
          <w:tcPr>
            <w:tcW w:type="dxa" w:w="4896"/>
            <w:tcMar>
              <w:top w:w="60" w:type="dxa"/>
              <w:bottom w:w="60" w:type="dxa"/>
              <w:start w:w="90" w:type="dxa"/>
              <w:end w:w="90" w:type="dxa"/>
            </w:tcMar>
            <w:shd w:val="clear" w:fill="EEF3F8"/>
          </w:tcPr>
          <w:p>
            <w:r>
              <w:rPr>
                <w:b w:val="0"/>
                <w:sz w:val="17"/>
              </w:rPr>
              <w:t>FR-MI-8</w:t>
            </w:r>
          </w:p>
        </w:tc>
        <w:tc>
          <w:tcPr>
            <w:tcW w:type="dxa" w:w="4896"/>
            <w:tcMar>
              <w:top w:w="60" w:type="dxa"/>
              <w:bottom w:w="60" w:type="dxa"/>
              <w:start w:w="90" w:type="dxa"/>
              <w:end w:w="90" w:type="dxa"/>
            </w:tcMar>
            <w:shd w:val="clear" w:fill="EEF3F8"/>
          </w:tcPr>
          <w:p>
            <w:r>
              <w:rPr>
                <w:b w:val="0"/>
                <w:sz w:val="17"/>
              </w:rPr>
              <w:t>Expose inference to Forge, Bifrost, and Heimdall over internal PQ-mTLS.</w:t>
            </w:r>
          </w:p>
        </w:tc>
      </w:tr>
    </w:tbl>
    <w:p/>
    <w:p>
      <w:pPr>
        <w:pStyle w:val="Heading2"/>
      </w:pPr>
      <w:r>
        <w:t>4.2 Inherited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Requirement</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NFR-PQ-2</w:t>
            </w:r>
          </w:p>
        </w:tc>
        <w:tc>
          <w:tcPr>
            <w:tcW w:type="dxa" w:w="3264"/>
            <w:tcMar>
              <w:top w:w="60" w:type="dxa"/>
              <w:bottom w:w="60" w:type="dxa"/>
              <w:start w:w="90" w:type="dxa"/>
              <w:end w:w="90" w:type="dxa"/>
            </w:tcMar>
            <w:shd w:val="clear" w:fill="FFFFFF"/>
          </w:tcPr>
          <w:p>
            <w:r>
              <w:rPr>
                <w:b w:val="0"/>
                <w:sz w:val="17"/>
              </w:rPr>
              <w:t>All data-at-rest is encrypted with AES-256-GCM under keys wrapped by ML-KEM-1024; key material is sealed to an HSM/TPM where present.</w:t>
            </w:r>
          </w:p>
        </w:tc>
        <w:tc>
          <w:tcPr>
            <w:tcW w:type="dxa" w:w="3264"/>
            <w:tcMar>
              <w:top w:w="60" w:type="dxa"/>
              <w:bottom w:w="60" w:type="dxa"/>
              <w:start w:w="90" w:type="dxa"/>
              <w:end w:w="90" w:type="dxa"/>
            </w:tcMar>
            <w:shd w:val="clear" w:fill="FFFFFF"/>
          </w:tcPr>
          <w:p>
            <w:r>
              <w:rPr>
                <w:b w:val="0"/>
                <w:sz w:val="17"/>
              </w:rPr>
              <w:t>STD:NIST FIPS 203 / FIPS 197</w:t>
            </w:r>
          </w:p>
        </w:tc>
      </w:tr>
      <w:tr>
        <w:tc>
          <w:tcPr>
            <w:tcW w:type="dxa" w:w="3264"/>
            <w:tcMar>
              <w:top w:w="60" w:type="dxa"/>
              <w:bottom w:w="60" w:type="dxa"/>
              <w:start w:w="90" w:type="dxa"/>
              <w:end w:w="90" w:type="dxa"/>
            </w:tcMar>
            <w:shd w:val="clear" w:fill="EEF3F8"/>
          </w:tcPr>
          <w:p>
            <w:r>
              <w:rPr>
                <w:b w:val="0"/>
                <w:sz w:val="17"/>
              </w:rPr>
              <w:t>NFR-PQ-3</w:t>
            </w:r>
          </w:p>
        </w:tc>
        <w:tc>
          <w:tcPr>
            <w:tcW w:type="dxa" w:w="3264"/>
            <w:tcMar>
              <w:top w:w="60" w:type="dxa"/>
              <w:bottom w:w="60" w:type="dxa"/>
              <w:start w:w="90" w:type="dxa"/>
              <w:end w:w="90" w:type="dxa"/>
            </w:tcMar>
            <w:shd w:val="clear" w:fill="EEF3F8"/>
          </w:tcPr>
          <w:p>
            <w:r>
              <w:rPr>
                <w:b w:val="0"/>
                <w:sz w:val="17"/>
              </w:rPr>
              <w:t>All service-to-service and artefact-signing operations use ML-DSA (Dilithium) or SLH-DSA (SPHINCS+) signatures.</w:t>
            </w:r>
          </w:p>
        </w:tc>
        <w:tc>
          <w:tcPr>
            <w:tcW w:type="dxa" w:w="3264"/>
            <w:tcMar>
              <w:top w:w="60" w:type="dxa"/>
              <w:bottom w:w="60" w:type="dxa"/>
              <w:start w:w="90" w:type="dxa"/>
              <w:end w:w="90" w:type="dxa"/>
            </w:tcMar>
            <w:shd w:val="clear" w:fill="EEF3F8"/>
          </w:tcPr>
          <w:p>
            <w:r>
              <w:rPr>
                <w:b w:val="0"/>
                <w:sz w:val="17"/>
              </w:rPr>
              <w:t>STD:NIST FIPS 204 / FIPS 205</w:t>
            </w:r>
          </w:p>
        </w:tc>
      </w:tr>
      <w:tr>
        <w:tc>
          <w:tcPr>
            <w:tcW w:type="dxa" w:w="3264"/>
            <w:tcMar>
              <w:top w:w="60" w:type="dxa"/>
              <w:bottom w:w="60" w:type="dxa"/>
              <w:start w:w="90" w:type="dxa"/>
              <w:end w:w="90" w:type="dxa"/>
            </w:tcMar>
            <w:shd w:val="clear" w:fill="FFFFFF"/>
          </w:tcPr>
          <w:p>
            <w:r>
              <w:rPr>
                <w:b w:val="0"/>
                <w:sz w:val="17"/>
              </w:rPr>
              <w:t>NFR-SEC-1</w:t>
            </w:r>
          </w:p>
        </w:tc>
        <w:tc>
          <w:tcPr>
            <w:tcW w:type="dxa" w:w="3264"/>
            <w:tcMar>
              <w:top w:w="60" w:type="dxa"/>
              <w:bottom w:w="60" w:type="dxa"/>
              <w:start w:w="90" w:type="dxa"/>
              <w:end w:w="90" w:type="dxa"/>
            </w:tcMar>
            <w:shd w:val="clear" w:fill="FFFFFF"/>
          </w:tcPr>
          <w:p>
            <w:r>
              <w:rPr>
                <w:b w:val="0"/>
                <w:sz w:val="17"/>
              </w:rPr>
              <w:t>Zero-trust: every request between components is mutually authenticated and authorised on identity, device posture, and purpose.</w:t>
            </w:r>
          </w:p>
        </w:tc>
        <w:tc>
          <w:tcPr>
            <w:tcW w:type="dxa" w:w="3264"/>
            <w:tcMar>
              <w:top w:w="60" w:type="dxa"/>
              <w:bottom w:w="60" w:type="dxa"/>
              <w:start w:w="90" w:type="dxa"/>
              <w:end w:w="90" w:type="dxa"/>
            </w:tcMar>
            <w:shd w:val="clear" w:fill="FFFFFF"/>
          </w:tcPr>
          <w:p>
            <w:r>
              <w:rPr>
                <w:b w:val="0"/>
                <w:sz w:val="17"/>
              </w:rPr>
              <w:t>STD:NIST SP 800-207</w:t>
            </w:r>
          </w:p>
        </w:tc>
      </w:tr>
      <w:tr>
        <w:tc>
          <w:tcPr>
            <w:tcW w:type="dxa" w:w="3264"/>
            <w:tcMar>
              <w:top w:w="60" w:type="dxa"/>
              <w:bottom w:w="60" w:type="dxa"/>
              <w:start w:w="90" w:type="dxa"/>
              <w:end w:w="90" w:type="dxa"/>
            </w:tcMar>
            <w:shd w:val="clear" w:fill="EEF3F8"/>
          </w:tcPr>
          <w:p>
            <w:r>
              <w:rPr>
                <w:b w:val="0"/>
                <w:sz w:val="17"/>
              </w:rPr>
              <w:t>NFR-PRV-1</w:t>
            </w:r>
          </w:p>
        </w:tc>
        <w:tc>
          <w:tcPr>
            <w:tcW w:type="dxa" w:w="3264"/>
            <w:tcMar>
              <w:top w:w="60" w:type="dxa"/>
              <w:bottom w:w="60" w:type="dxa"/>
              <w:start w:w="90" w:type="dxa"/>
              <w:end w:w="90" w:type="dxa"/>
            </w:tcMar>
            <w:shd w:val="clear" w:fill="EEF3F8"/>
          </w:tcPr>
          <w:p>
            <w:r>
              <w:rPr>
                <w:b w:val="0"/>
                <w:sz w:val="17"/>
              </w:rPr>
              <w:t>The suite runs fully offline / air-gapped with no outbound network dependency for any core function.</w:t>
            </w:r>
          </w:p>
        </w:tc>
        <w:tc>
          <w:tcPr>
            <w:tcW w:type="dxa" w:w="3264"/>
            <w:tcMar>
              <w:top w:w="60" w:type="dxa"/>
              <w:bottom w:w="60" w:type="dxa"/>
              <w:start w:w="90" w:type="dxa"/>
              <w:end w:w="90" w:type="dxa"/>
            </w:tcMar>
            <w:shd w:val="clear" w:fill="EEF3F8"/>
          </w:tcPr>
          <w:p>
            <w:r>
              <w:rPr>
                <w:b w:val="0"/>
                <w:sz w:val="17"/>
              </w:rPr>
              <w:t>DD-7</w:t>
            </w:r>
          </w:p>
        </w:tc>
      </w:tr>
      <w:tr>
        <w:tc>
          <w:tcPr>
            <w:tcW w:type="dxa" w:w="3264"/>
            <w:tcMar>
              <w:top w:w="60" w:type="dxa"/>
              <w:bottom w:w="60" w:type="dxa"/>
              <w:start w:w="90" w:type="dxa"/>
              <w:end w:w="90" w:type="dxa"/>
            </w:tcMar>
            <w:shd w:val="clear" w:fill="FFFFFF"/>
          </w:tcPr>
          <w:p>
            <w:r>
              <w:rPr>
                <w:b w:val="0"/>
                <w:sz w:val="17"/>
              </w:rPr>
              <w:t>NFR-PERF-1</w:t>
            </w:r>
          </w:p>
        </w:tc>
        <w:tc>
          <w:tcPr>
            <w:tcW w:type="dxa" w:w="3264"/>
            <w:tcMar>
              <w:top w:w="60" w:type="dxa"/>
              <w:bottom w:w="60" w:type="dxa"/>
              <w:start w:w="90" w:type="dxa"/>
              <w:end w:w="90" w:type="dxa"/>
            </w:tcMar>
            <w:shd w:val="clear" w:fill="FFFFFF"/>
          </w:tcPr>
          <w:p>
            <w:r>
              <w:rPr>
                <w:b w:val="0"/>
                <w:sz w:val="17"/>
              </w:rPr>
              <w:t>Local inference first-token latency target &lt; 800 ms on reference hardware (1×80GB GPU class); batch throughput scales horizontally.</w:t>
            </w:r>
          </w:p>
        </w:tc>
        <w:tc>
          <w:tcPr>
            <w:tcW w:type="dxa" w:w="3264"/>
            <w:tcMar>
              <w:top w:w="60" w:type="dxa"/>
              <w:bottom w:w="60" w:type="dxa"/>
              <w:start w:w="90" w:type="dxa"/>
              <w:end w:w="90" w:type="dxa"/>
            </w:tcMar>
            <w:shd w:val="clear" w:fill="FFFFFF"/>
          </w:tcPr>
          <w:p>
            <w:r>
              <w:rPr>
                <w:b w:val="0"/>
                <w:sz w:val="17"/>
              </w:rPr>
              <w:t>DD-4</w:t>
            </w:r>
          </w:p>
        </w:tc>
      </w:tr>
      <w:tr>
        <w:tc>
          <w:tcPr>
            <w:tcW w:type="dxa" w:w="3264"/>
            <w:tcMar>
              <w:top w:w="60" w:type="dxa"/>
              <w:bottom w:w="60" w:type="dxa"/>
              <w:start w:w="90" w:type="dxa"/>
              <w:end w:w="90" w:type="dxa"/>
            </w:tcMar>
            <w:shd w:val="clear" w:fill="EEF3F8"/>
          </w:tcPr>
          <w:p>
            <w:r>
              <w:rPr>
                <w:b w:val="0"/>
                <w:sz w:val="17"/>
              </w:rPr>
              <w:t>NFR-AI-1</w:t>
            </w:r>
          </w:p>
        </w:tc>
        <w:tc>
          <w:tcPr>
            <w:tcW w:type="dxa" w:w="3264"/>
            <w:tcMar>
              <w:top w:w="60" w:type="dxa"/>
              <w:bottom w:w="60" w:type="dxa"/>
              <w:start w:w="90" w:type="dxa"/>
              <w:end w:w="90" w:type="dxa"/>
            </w:tcMar>
            <w:shd w:val="clear" w:fill="EEF3F8"/>
          </w:tcPr>
          <w:p>
            <w:r>
              <w:rPr>
                <w:b w:val="0"/>
                <w:sz w:val="17"/>
              </w:rPr>
              <w:t>Every agentic action is traceable, evaluated against an Evals suite, and reversible or human-gated where it mutates state.</w:t>
            </w:r>
          </w:p>
        </w:tc>
        <w:tc>
          <w:tcPr>
            <w:tcW w:type="dxa" w:w="3264"/>
            <w:tcMar>
              <w:top w:w="60" w:type="dxa"/>
              <w:bottom w:w="60" w:type="dxa"/>
              <w:start w:w="90" w:type="dxa"/>
              <w:end w:w="90" w:type="dxa"/>
            </w:tcMar>
            <w:shd w:val="clear" w:fill="EEF3F8"/>
          </w:tcPr>
          <w:p>
            <w:r>
              <w:rPr>
                <w:b w:val="0"/>
                <w:sz w:val="17"/>
              </w:rPr>
              <w:t>DD-5</w:t>
            </w:r>
          </w:p>
        </w:tc>
      </w:tr>
    </w:tbl>
    <w:p/>
    <w:p>
      <w:pPr>
        <w:pStyle w:val="Heading1"/>
      </w:pPr>
      <w:r>
        <w:t>5. Solution Strategy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Serving</w:t>
            </w:r>
          </w:p>
        </w:tc>
        <w:tc>
          <w:tcPr>
            <w:tcW w:type="dxa" w:w="3264"/>
            <w:tcMar>
              <w:top w:w="60" w:type="dxa"/>
              <w:bottom w:w="60" w:type="dxa"/>
              <w:start w:w="90" w:type="dxa"/>
              <w:end w:w="90" w:type="dxa"/>
            </w:tcMar>
            <w:shd w:val="clear" w:fill="FFFFFF"/>
          </w:tcPr>
          <w:p>
            <w:r>
              <w:rPr>
                <w:b w:val="0"/>
                <w:sz w:val="17"/>
              </w:rPr>
              <w:t>Dedicated inference runtime on GPU pool; continuous batching</w:t>
            </w:r>
          </w:p>
        </w:tc>
        <w:tc>
          <w:tcPr>
            <w:tcW w:type="dxa" w:w="3264"/>
            <w:tcMar>
              <w:top w:w="60" w:type="dxa"/>
              <w:bottom w:w="60" w:type="dxa"/>
              <w:start w:w="90" w:type="dxa"/>
              <w:end w:w="90" w:type="dxa"/>
            </w:tcMar>
            <w:shd w:val="clear" w:fill="FFFFFF"/>
          </w:tcPr>
          <w:p>
            <w:r>
              <w:rPr>
                <w:b w:val="0"/>
                <w:sz w:val="17"/>
              </w:rPr>
              <w:t>`[FR-MI-1]` `[NFR-PERF-1]`</w:t>
            </w:r>
          </w:p>
        </w:tc>
      </w:tr>
      <w:tr>
        <w:tc>
          <w:tcPr>
            <w:tcW w:type="dxa" w:w="3264"/>
            <w:tcMar>
              <w:top w:w="60" w:type="dxa"/>
              <w:bottom w:w="60" w:type="dxa"/>
              <w:start w:w="90" w:type="dxa"/>
              <w:end w:w="90" w:type="dxa"/>
            </w:tcMar>
            <w:shd w:val="clear" w:fill="EEF3F8"/>
          </w:tcPr>
          <w:p>
            <w:r>
              <w:rPr>
                <w:b w:val="0"/>
                <w:sz w:val="17"/>
              </w:rPr>
              <w:t>Grounding</w:t>
            </w:r>
          </w:p>
        </w:tc>
        <w:tc>
          <w:tcPr>
            <w:tcW w:type="dxa" w:w="3264"/>
            <w:tcMar>
              <w:top w:w="60" w:type="dxa"/>
              <w:bottom w:w="60" w:type="dxa"/>
              <w:start w:w="90" w:type="dxa"/>
              <w:end w:w="90" w:type="dxa"/>
            </w:tcMar>
            <w:shd w:val="clear" w:fill="EEF3F8"/>
          </w:tcPr>
          <w:p>
            <w:r>
              <w:rPr>
                <w:b w:val="0"/>
                <w:sz w:val="17"/>
              </w:rPr>
              <w:t>OAG retriever over object fabric with citation binding</w:t>
            </w:r>
          </w:p>
        </w:tc>
        <w:tc>
          <w:tcPr>
            <w:tcW w:type="dxa" w:w="3264"/>
            <w:tcMar>
              <w:top w:w="60" w:type="dxa"/>
              <w:bottom w:w="60" w:type="dxa"/>
              <w:start w:w="90" w:type="dxa"/>
              <w:end w:w="90" w:type="dxa"/>
            </w:tcMar>
            <w:shd w:val="clear" w:fill="EEF3F8"/>
          </w:tcPr>
          <w:p>
            <w:r>
              <w:rPr>
                <w:b w:val="0"/>
                <w:sz w:val="17"/>
              </w:rPr>
              <w:t>`[FR-MI-2]` `[DD-1]`</w:t>
            </w:r>
          </w:p>
        </w:tc>
      </w:tr>
      <w:tr>
        <w:tc>
          <w:tcPr>
            <w:tcW w:type="dxa" w:w="3264"/>
            <w:tcMar>
              <w:top w:w="60" w:type="dxa"/>
              <w:bottom w:w="60" w:type="dxa"/>
              <w:start w:w="90" w:type="dxa"/>
              <w:end w:w="90" w:type="dxa"/>
            </w:tcMar>
            <w:shd w:val="clear" w:fill="FFFFFF"/>
          </w:tcPr>
          <w:p>
            <w:r>
              <w:rPr>
                <w:b w:val="0"/>
                <w:sz w:val="17"/>
              </w:rPr>
              <w:t>Agency</w:t>
            </w:r>
          </w:p>
        </w:tc>
        <w:tc>
          <w:tcPr>
            <w:tcW w:type="dxa" w:w="3264"/>
            <w:tcMar>
              <w:top w:w="60" w:type="dxa"/>
              <w:bottom w:w="60" w:type="dxa"/>
              <w:start w:w="90" w:type="dxa"/>
              <w:end w:w="90" w:type="dxa"/>
            </w:tcMar>
            <w:shd w:val="clear" w:fill="FFFFFF"/>
          </w:tcPr>
          <w:p>
            <w:r>
              <w:rPr>
                <w:b w:val="0"/>
                <w:sz w:val="17"/>
              </w:rPr>
              <w:t>Plan–act–observe loop with typed tools + memory store</w:t>
            </w:r>
          </w:p>
        </w:tc>
        <w:tc>
          <w:tcPr>
            <w:tcW w:type="dxa" w:w="3264"/>
            <w:tcMar>
              <w:top w:w="60" w:type="dxa"/>
              <w:bottom w:w="60" w:type="dxa"/>
              <w:start w:w="90" w:type="dxa"/>
              <w:end w:w="90" w:type="dxa"/>
            </w:tcMar>
            <w:shd w:val="clear" w:fill="FFFFFF"/>
          </w:tcPr>
          <w:p>
            <w:r>
              <w:rPr>
                <w:b w:val="0"/>
                <w:sz w:val="17"/>
              </w:rPr>
              <w:t>`[FR-MI-3]`</w:t>
            </w:r>
          </w:p>
        </w:tc>
      </w:tr>
      <w:tr>
        <w:tc>
          <w:tcPr>
            <w:tcW w:type="dxa" w:w="3264"/>
            <w:tcMar>
              <w:top w:w="60" w:type="dxa"/>
              <w:bottom w:w="60" w:type="dxa"/>
              <w:start w:w="90" w:type="dxa"/>
              <w:end w:w="90" w:type="dxa"/>
            </w:tcMar>
            <w:shd w:val="clear" w:fill="EEF3F8"/>
          </w:tcPr>
          <w:p>
            <w:r>
              <w:rPr>
                <w:b w:val="0"/>
                <w:sz w:val="17"/>
              </w:rPr>
              <w:t>Governance</w:t>
            </w:r>
          </w:p>
        </w:tc>
        <w:tc>
          <w:tcPr>
            <w:tcW w:type="dxa" w:w="3264"/>
            <w:tcMar>
              <w:top w:w="60" w:type="dxa"/>
              <w:bottom w:w="60" w:type="dxa"/>
              <w:start w:w="90" w:type="dxa"/>
              <w:end w:w="90" w:type="dxa"/>
            </w:tcMar>
            <w:shd w:val="clear" w:fill="EEF3F8"/>
          </w:tcPr>
          <w:p>
            <w:r>
              <w:rPr>
                <w:b w:val="0"/>
                <w:sz w:val="17"/>
              </w:rPr>
              <w:t>Mandatory Evals + guardrails on every agent action</w:t>
            </w:r>
          </w:p>
        </w:tc>
        <w:tc>
          <w:tcPr>
            <w:tcW w:type="dxa" w:w="3264"/>
            <w:tcMar>
              <w:top w:w="60" w:type="dxa"/>
              <w:bottom w:w="60" w:type="dxa"/>
              <w:start w:w="90" w:type="dxa"/>
              <w:end w:w="90" w:type="dxa"/>
            </w:tcMar>
            <w:shd w:val="clear" w:fill="EEF3F8"/>
          </w:tcPr>
          <w:p>
            <w:r>
              <w:rPr>
                <w:b w:val="0"/>
                <w:sz w:val="17"/>
              </w:rPr>
              <w:t>`[NFR-AI-1]`</w:t>
            </w:r>
          </w:p>
        </w:tc>
      </w:tr>
      <w:tr>
        <w:tc>
          <w:tcPr>
            <w:tcW w:type="dxa" w:w="3264"/>
            <w:tcMar>
              <w:top w:w="60" w:type="dxa"/>
              <w:bottom w:w="60" w:type="dxa"/>
              <w:start w:w="90" w:type="dxa"/>
              <w:end w:w="90" w:type="dxa"/>
            </w:tcMar>
            <w:shd w:val="clear" w:fill="FFFFFF"/>
          </w:tcPr>
          <w:p>
            <w:r>
              <w:rPr>
                <w:b w:val="0"/>
                <w:sz w:val="17"/>
              </w:rPr>
              <w:t>Self-*</w:t>
            </w:r>
          </w:p>
        </w:tc>
        <w:tc>
          <w:tcPr>
            <w:tcW w:type="dxa" w:w="3264"/>
            <w:tcMar>
              <w:top w:w="60" w:type="dxa"/>
              <w:bottom w:w="60" w:type="dxa"/>
              <w:start w:w="90" w:type="dxa"/>
              <w:end w:w="90" w:type="dxa"/>
            </w:tcMar>
            <w:shd w:val="clear" w:fill="FFFFFF"/>
          </w:tcPr>
          <w:p>
            <w:r>
              <w:rPr>
                <w:b w:val="0"/>
                <w:sz w:val="17"/>
              </w:rPr>
              <w:t>Closed control loops around learn/heal/defend</w:t>
            </w:r>
          </w:p>
        </w:tc>
        <w:tc>
          <w:tcPr>
            <w:tcW w:type="dxa" w:w="3264"/>
            <w:tcMar>
              <w:top w:w="60" w:type="dxa"/>
              <w:bottom w:w="60" w:type="dxa"/>
              <w:start w:w="90" w:type="dxa"/>
              <w:end w:w="90" w:type="dxa"/>
            </w:tcMar>
            <w:shd w:val="clear" w:fill="FFFFFF"/>
          </w:tcPr>
          <w:p>
            <w:r>
              <w:rPr>
                <w:b w:val="0"/>
                <w:sz w:val="17"/>
              </w:rPr>
              <w:t>`[DD-5]`</w:t>
            </w:r>
          </w:p>
        </w:tc>
      </w:tr>
    </w:tbl>
    <w:p/>
    <w:p>
      <w:pPr>
        <w:shd w:val="clear" w:fill="EEF3F8"/>
        <w:pBdr>
          <w:left w:val="single" w:sz="18" w:space="8" w:color="1168BD"/>
        </w:pBdr>
        <w:ind w:left="144"/>
      </w:pPr>
      <w:r>
        <w:rPr>
          <w:sz w:val="21"/>
        </w:rPr>
      </w:r>
      <w:r>
        <w:rPr>
          <w:b/>
          <w:sz w:val="21"/>
        </w:rPr>
        <w:t>KDD — self-\* is bounded autonomy, not unbounded.</w:t>
      </w:r>
      <w:r>
        <w:rPr>
          <w:sz w:val="21"/>
        </w:rPr>
        <w:t xml:space="preserve"> Every self-learning update, self-healing reroute, and self-defending block is (a) logged with provenance, (b) checked against the Evals suite, and (c) reversible; state-mutating actions require human gating unless explicitly pre-authorised for a narrow, evaluated scope. </w:t>
      </w:r>
      <w:r>
        <w:rPr>
          <w:rFonts w:ascii="Consolas" w:hAnsi="Consolas"/>
          <w:color w:val="0B4884"/>
          <w:sz w:val="18"/>
        </w:rPr>
        <w:t>[NFR-AI-1]</w:t>
      </w:r>
      <w:r>
        <w:rPr>
          <w:sz w:val="21"/>
        </w:rPr>
        <w:t xml:space="preserve"> </w:t>
      </w:r>
      <w:r>
        <w:rPr>
          <w:rFonts w:ascii="Consolas" w:hAnsi="Consolas"/>
          <w:color w:val="0B4884"/>
          <w:sz w:val="18"/>
        </w:rPr>
        <w:t>[DD-5]</w:t>
      </w:r>
      <w:r>
        <w:rPr>
          <w:sz w:val="21"/>
        </w:rPr>
      </w:r>
    </w:p>
    <w:p>
      <w:pPr>
        <w:pStyle w:val="Heading1"/>
      </w:pPr>
      <w:r>
        <w:t>6. Logical Architecture (C4 L2)</w:t>
      </w:r>
    </w:p>
    <w:p>
      <w:pPr>
        <w:jc w:val="center"/>
      </w:pPr>
      <w:r>
        <w:drawing>
          <wp:inline xmlns:a="http://schemas.openxmlformats.org/drawingml/2006/main" xmlns:pic="http://schemas.openxmlformats.org/drawingml/2006/picture">
            <wp:extent cx="6035040" cy="3833482"/>
            <wp:docPr id="2" name="Picture 2"/>
            <wp:cNvGraphicFramePr>
              <a:graphicFrameLocks noChangeAspect="1"/>
            </wp:cNvGraphicFramePr>
            <a:graphic>
              <a:graphicData uri="http://schemas.openxmlformats.org/drawingml/2006/picture">
                <pic:pic>
                  <pic:nvPicPr>
                    <pic:cNvPr id="0" name="mimir_c4_containers.png"/>
                    <pic:cNvPicPr/>
                  </pic:nvPicPr>
                  <pic:blipFill>
                    <a:blip r:embed="rId10"/>
                    <a:stretch>
                      <a:fillRect/>
                    </a:stretch>
                  </pic:blipFill>
                  <pic:spPr>
                    <a:xfrm>
                      <a:off x="0" y="0"/>
                      <a:ext cx="6035040" cy="3833482"/>
                    </a:xfrm>
                    <a:prstGeom prst="rect"/>
                  </pic:spPr>
                </pic:pic>
              </a:graphicData>
            </a:graphic>
          </wp:inline>
        </w:drawing>
      </w:r>
    </w:p>
    <w:p>
      <w:pPr>
        <w:jc w:val="center"/>
      </w:pPr>
      <w:r>
        <w:rPr>
          <w:i/>
          <w:color w:val="595959"/>
          <w:sz w:val="17"/>
        </w:rPr>
        <w:t>Figure 6.1 — Mimir containers.</w:t>
      </w:r>
    </w:p>
    <w:p/>
    <w:p>
      <w:pPr>
        <w:pStyle w:val="Heading3"/>
      </w:pPr>
      <w:r>
        <w:t>6.1 Inference runtime</w:t>
      </w:r>
    </w:p>
    <w:p>
      <w:r>
        <w:rPr>
          <w:sz w:val="21"/>
        </w:rPr>
        <w:t xml:space="preserve">Serves GLM 5.2 with continuous batching, KV-cache, quantisation; exposes typed completion/embedding APIs; scales across the GPU pool. </w:t>
      </w:r>
      <w:r>
        <w:rPr>
          <w:rFonts w:ascii="Consolas" w:hAnsi="Consolas"/>
          <w:color w:val="0B4884"/>
          <w:sz w:val="18"/>
        </w:rPr>
        <w:t>[FR-MI-1]</w:t>
      </w:r>
      <w:r>
        <w:rPr>
          <w:sz w:val="21"/>
        </w:rPr>
        <w:t xml:space="preserve"> </w:t>
      </w:r>
      <w:r>
        <w:rPr>
          <w:rFonts w:ascii="Consolas" w:hAnsi="Consolas"/>
          <w:color w:val="0B4884"/>
          <w:sz w:val="18"/>
        </w:rPr>
        <w:t>[NFR-PERF-1]</w:t>
      </w:r>
      <w:r>
        <w:rPr>
          <w:sz w:val="21"/>
        </w:rPr>
      </w:r>
    </w:p>
    <w:p>
      <w:pPr>
        <w:pStyle w:val="Heading3"/>
      </w:pPr>
      <w:r>
        <w:t>6.2 OAG retriever</w:t>
      </w:r>
    </w:p>
    <w:p>
      <w:r>
        <w:rPr>
          <w:sz w:val="21"/>
        </w:rPr>
        <w:t xml:space="preserve">Retrieves grounding context (objects, links, functions, actions) from the fabric and binds citations to generated content. </w:t>
      </w:r>
      <w:r>
        <w:rPr>
          <w:rFonts w:ascii="Consolas" w:hAnsi="Consolas"/>
          <w:color w:val="0B4884"/>
          <w:sz w:val="18"/>
        </w:rPr>
        <w:t>[FR-MI-2]</w:t>
      </w:r>
      <w:r>
        <w:rPr>
          <w:sz w:val="21"/>
        </w:rPr>
        <w:t xml:space="preserve"> </w:t>
      </w:r>
      <w:r>
        <w:rPr>
          <w:rFonts w:ascii="Consolas" w:hAnsi="Consolas"/>
          <w:color w:val="0B4884"/>
          <w:sz w:val="18"/>
        </w:rPr>
        <w:t>[DD-1]</w:t>
      </w:r>
      <w:r>
        <w:rPr>
          <w:sz w:val="21"/>
        </w:rPr>
      </w:r>
    </w:p>
    <w:p>
      <w:pPr>
        <w:pStyle w:val="Heading3"/>
      </w:pPr>
      <w:r>
        <w:t>6.3 Agent runtime</w:t>
      </w:r>
    </w:p>
    <w:p>
      <w:r>
        <w:rPr>
          <w:sz w:val="21"/>
        </w:rPr>
        <w:t xml:space="preserve">Executes plan–act–observe loops with typed tools (fabric queries, actions, functions, MCP), a memory store, and per-step Evals. </w:t>
      </w:r>
      <w:r>
        <w:rPr>
          <w:rFonts w:ascii="Consolas" w:hAnsi="Consolas"/>
          <w:color w:val="0B4884"/>
          <w:sz w:val="18"/>
        </w:rPr>
        <w:t>[FR-MI-3]</w:t>
      </w:r>
      <w:r>
        <w:rPr>
          <w:sz w:val="21"/>
        </w:rPr>
      </w:r>
    </w:p>
    <w:p>
      <w:pPr>
        <w:pStyle w:val="Heading3"/>
      </w:pPr>
      <w:r>
        <w:t>6.4 Guardrail &amp; defence layer</w:t>
      </w:r>
    </w:p>
    <w:p>
      <w:r>
        <w:rPr>
          <w:sz w:val="21"/>
        </w:rPr>
        <w:t xml:space="preserve">Screens inputs and tool calls for prompt-injection, policy violations, and exfiltration attempts before execution. </w:t>
      </w:r>
      <w:r>
        <w:rPr>
          <w:rFonts w:ascii="Consolas" w:hAnsi="Consolas"/>
          <w:color w:val="0B4884"/>
          <w:sz w:val="18"/>
        </w:rPr>
        <w:t>[FR-MI-7]</w:t>
      </w:r>
      <w:r>
        <w:rPr>
          <w:sz w:val="21"/>
        </w:rPr>
      </w:r>
    </w:p>
    <w:p>
      <w:pPr>
        <w:pStyle w:val="Heading3"/>
      </w:pPr>
      <w:r>
        <w:t>6.5 Evals &amp; feedback service</w:t>
      </w:r>
    </w:p>
    <w:p>
      <w:r>
        <w:rPr>
          <w:sz w:val="21"/>
        </w:rPr>
        <w:t xml:space="preserve">Runs test cases, scores agent behaviour, and feeds governed feedback into self-learning. </w:t>
      </w:r>
      <w:r>
        <w:rPr>
          <w:rFonts w:ascii="Consolas" w:hAnsi="Consolas"/>
          <w:color w:val="0B4884"/>
          <w:sz w:val="18"/>
        </w:rPr>
        <w:t>[FR-MI-5]</w:t>
      </w:r>
      <w:r>
        <w:rPr>
          <w:sz w:val="21"/>
        </w:rPr>
        <w:t xml:space="preserve"> </w:t>
      </w:r>
      <w:r>
        <w:rPr>
          <w:rFonts w:ascii="Consolas" w:hAnsi="Consolas"/>
          <w:color w:val="0B4884"/>
          <w:sz w:val="18"/>
        </w:rPr>
        <w:t>[NFR-AI-1]</w:t>
      </w:r>
      <w:r>
        <w:rPr>
          <w:sz w:val="21"/>
        </w:rPr>
      </w:r>
    </w:p>
    <w:p>
      <w:pPr>
        <w:pStyle w:val="Heading3"/>
      </w:pPr>
      <w:r>
        <w:t>6.6 Builders (Logic / Agent Studio)</w:t>
      </w:r>
    </w:p>
    <w:p>
      <w:r>
        <w:rPr>
          <w:sz w:val="21"/>
        </w:rPr>
        <w:t xml:space="preserve">No-code and pro-code authoring of AI functions and agents. </w:t>
      </w:r>
      <w:r>
        <w:rPr>
          <w:rFonts w:ascii="Consolas" w:hAnsi="Consolas"/>
          <w:color w:val="0B4884"/>
          <w:sz w:val="18"/>
        </w:rPr>
        <w:t>[FR-MI-4]</w:t>
      </w:r>
      <w:r>
        <w:rPr>
          <w:sz w:val="21"/>
        </w:rPr>
      </w:r>
    </w:p>
    <w:p>
      <w:pPr>
        <w:pStyle w:val="Heading1"/>
      </w:pPr>
      <w:r>
        <w:t>7. Component Architecture (C4 L3)</w:t>
      </w:r>
    </w:p>
    <w:p>
      <w:pPr>
        <w:jc w:val="center"/>
      </w:pPr>
      <w:r>
        <w:drawing>
          <wp:inline xmlns:a="http://schemas.openxmlformats.org/drawingml/2006/main" xmlns:pic="http://schemas.openxmlformats.org/drawingml/2006/picture">
            <wp:extent cx="6035040" cy="2555655"/>
            <wp:docPr id="3" name="Picture 3"/>
            <wp:cNvGraphicFramePr>
              <a:graphicFrameLocks noChangeAspect="1"/>
            </wp:cNvGraphicFramePr>
            <a:graphic>
              <a:graphicData uri="http://schemas.openxmlformats.org/drawingml/2006/picture">
                <pic:pic>
                  <pic:nvPicPr>
                    <pic:cNvPr id="0" name="mimir_c4_component.png"/>
                    <pic:cNvPicPr/>
                  </pic:nvPicPr>
                  <pic:blipFill>
                    <a:blip r:embed="rId11"/>
                    <a:stretch>
                      <a:fillRect/>
                    </a:stretch>
                  </pic:blipFill>
                  <pic:spPr>
                    <a:xfrm>
                      <a:off x="0" y="0"/>
                      <a:ext cx="6035040" cy="2555655"/>
                    </a:xfrm>
                    <a:prstGeom prst="rect"/>
                  </pic:spPr>
                </pic:pic>
              </a:graphicData>
            </a:graphic>
          </wp:inline>
        </w:drawing>
      </w:r>
    </w:p>
    <w:p>
      <w:pPr>
        <w:jc w:val="center"/>
      </w:pPr>
      <w:r>
        <w:rPr>
          <w:i/>
          <w:color w:val="595959"/>
          <w:sz w:val="17"/>
        </w:rPr>
        <w:t>Figure 7.1 — Agent runtime components.</w:t>
      </w:r>
    </w:p>
    <w:p/>
    <w:p>
      <w:pPr>
        <w:pStyle w:val="Heading2"/>
      </w:pPr>
      <w:r>
        <w:t>7.1 The self-\* control loops</w:t>
      </w:r>
    </w:p>
    <w:p>
      <w:r>
        <w:rPr>
          <w:sz w:val="21"/>
        </w:rPr>
        <w:t>The self-learning, self-healing, and self-defending behaviours are implemented as explicit closed control loops around the agent runtime, each observable, evaluated, and reversible.</w:t>
      </w:r>
    </w:p>
    <w:p>
      <w:pPr>
        <w:jc w:val="center"/>
      </w:pPr>
      <w:r>
        <w:drawing>
          <wp:inline xmlns:a="http://schemas.openxmlformats.org/drawingml/2006/main" xmlns:pic="http://schemas.openxmlformats.org/drawingml/2006/picture">
            <wp:extent cx="6035040" cy="2263140"/>
            <wp:docPr id="4" name="Picture 4"/>
            <wp:cNvGraphicFramePr>
              <a:graphicFrameLocks noChangeAspect="1"/>
            </wp:cNvGraphicFramePr>
            <a:graphic>
              <a:graphicData uri="http://schemas.openxmlformats.org/drawingml/2006/picture">
                <pic:pic>
                  <pic:nvPicPr>
                    <pic:cNvPr id="0" name="mimir_self_loop.png"/>
                    <pic:cNvPicPr/>
                  </pic:nvPicPr>
                  <pic:blipFill>
                    <a:blip r:embed="rId12"/>
                    <a:stretch>
                      <a:fillRect/>
                    </a:stretch>
                  </pic:blipFill>
                  <pic:spPr>
                    <a:xfrm>
                      <a:off x="0" y="0"/>
                      <a:ext cx="6035040" cy="2263140"/>
                    </a:xfrm>
                    <a:prstGeom prst="rect"/>
                  </pic:spPr>
                </pic:pic>
              </a:graphicData>
            </a:graphic>
          </wp:inline>
        </w:drawing>
      </w:r>
    </w:p>
    <w:p>
      <w:pPr>
        <w:jc w:val="center"/>
      </w:pPr>
      <w:r>
        <w:rPr>
          <w:i/>
          <w:color w:val="595959"/>
          <w:sz w:val="17"/>
        </w:rPr>
        <w:t>Figure 7.2 — Self-learning / self-healing / self-defending control loops.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1958"/>
        <w:gridCol w:w="1958"/>
        <w:gridCol w:w="1958"/>
        <w:gridCol w:w="1958"/>
        <w:gridCol w:w="1958"/>
      </w:tblGrid>
      <w:tr>
        <w:tc>
          <w:tcPr>
            <w:tcW w:type="dxa" w:w="1958"/>
            <w:shd w:val="clear" w:fill="0B4884"/>
            <w:tcMar>
              <w:top w:w="60" w:type="dxa"/>
              <w:bottom w:w="60" w:type="dxa"/>
              <w:start w:w="90" w:type="dxa"/>
              <w:end w:w="90" w:type="dxa"/>
            </w:tcMar>
          </w:tcPr>
          <w:p>
            <w:r>
              <w:rPr>
                <w:b/>
                <w:color w:val="FFFFFF"/>
                <w:sz w:val="18"/>
              </w:rPr>
              <w:t>Loop</w:t>
            </w:r>
          </w:p>
        </w:tc>
        <w:tc>
          <w:tcPr>
            <w:tcW w:type="dxa" w:w="1958"/>
            <w:shd w:val="clear" w:fill="0B4884"/>
            <w:tcMar>
              <w:top w:w="60" w:type="dxa"/>
              <w:bottom w:w="60" w:type="dxa"/>
              <w:start w:w="90" w:type="dxa"/>
              <w:end w:w="90" w:type="dxa"/>
            </w:tcMar>
          </w:tcPr>
          <w:p>
            <w:r>
              <w:rPr>
                <w:b/>
                <w:color w:val="FFFFFF"/>
                <w:sz w:val="18"/>
              </w:rPr>
              <w:t>Sensor</w:t>
            </w:r>
          </w:p>
        </w:tc>
        <w:tc>
          <w:tcPr>
            <w:tcW w:type="dxa" w:w="1958"/>
            <w:shd w:val="clear" w:fill="0B4884"/>
            <w:tcMar>
              <w:top w:w="60" w:type="dxa"/>
              <w:bottom w:w="60" w:type="dxa"/>
              <w:start w:w="90" w:type="dxa"/>
              <w:end w:w="90" w:type="dxa"/>
            </w:tcMar>
          </w:tcPr>
          <w:p>
            <w:r>
              <w:rPr>
                <w:b/>
                <w:color w:val="FFFFFF"/>
                <w:sz w:val="18"/>
              </w:rPr>
              <w:t>Controller</w:t>
            </w:r>
          </w:p>
        </w:tc>
        <w:tc>
          <w:tcPr>
            <w:tcW w:type="dxa" w:w="1958"/>
            <w:shd w:val="clear" w:fill="0B4884"/>
            <w:tcMar>
              <w:top w:w="60" w:type="dxa"/>
              <w:bottom w:w="60" w:type="dxa"/>
              <w:start w:w="90" w:type="dxa"/>
              <w:end w:w="90" w:type="dxa"/>
            </w:tcMar>
          </w:tcPr>
          <w:p>
            <w:r>
              <w:rPr>
                <w:b/>
                <w:color w:val="FFFFFF"/>
                <w:sz w:val="18"/>
              </w:rPr>
              <w:t>Actuator</w:t>
            </w:r>
          </w:p>
        </w:tc>
        <w:tc>
          <w:tcPr>
            <w:tcW w:type="dxa" w:w="1958"/>
            <w:shd w:val="clear" w:fill="0B4884"/>
            <w:tcMar>
              <w:top w:w="60" w:type="dxa"/>
              <w:bottom w:w="60" w:type="dxa"/>
              <w:start w:w="90" w:type="dxa"/>
              <w:end w:w="90" w:type="dxa"/>
            </w:tcMar>
          </w:tcPr>
          <w:p>
            <w:r>
              <w:rPr>
                <w:b/>
                <w:color w:val="FFFFFF"/>
                <w:sz w:val="18"/>
              </w:rPr>
              <w:t>Guard</w:t>
            </w:r>
          </w:p>
        </w:tc>
      </w:tr>
      <w:tr>
        <w:tc>
          <w:tcPr>
            <w:tcW w:type="dxa" w:w="1958"/>
            <w:tcMar>
              <w:top w:w="60" w:type="dxa"/>
              <w:bottom w:w="60" w:type="dxa"/>
              <w:start w:w="90" w:type="dxa"/>
              <w:end w:w="90" w:type="dxa"/>
            </w:tcMar>
            <w:shd w:val="clear" w:fill="FFFFFF"/>
          </w:tcPr>
          <w:p>
            <w:r>
              <w:rPr>
                <w:b w:val="0"/>
                <w:sz w:val="17"/>
              </w:rPr>
              <w:t>Self-learning</w:t>
            </w:r>
          </w:p>
        </w:tc>
        <w:tc>
          <w:tcPr>
            <w:tcW w:type="dxa" w:w="1958"/>
            <w:tcMar>
              <w:top w:w="60" w:type="dxa"/>
              <w:bottom w:w="60" w:type="dxa"/>
              <w:start w:w="90" w:type="dxa"/>
              <w:end w:w="90" w:type="dxa"/>
            </w:tcMar>
            <w:shd w:val="clear" w:fill="FFFFFF"/>
          </w:tcPr>
          <w:p>
            <w:r>
              <w:rPr>
                <w:b w:val="0"/>
                <w:sz w:val="17"/>
              </w:rPr>
              <w:t>User/Evals feedback</w:t>
            </w:r>
          </w:p>
        </w:tc>
        <w:tc>
          <w:tcPr>
            <w:tcW w:type="dxa" w:w="1958"/>
            <w:tcMar>
              <w:top w:w="60" w:type="dxa"/>
              <w:bottom w:w="60" w:type="dxa"/>
              <w:start w:w="90" w:type="dxa"/>
              <w:end w:w="90" w:type="dxa"/>
            </w:tcMar>
            <w:shd w:val="clear" w:fill="FFFFFF"/>
          </w:tcPr>
          <w:p>
            <w:r>
              <w:rPr>
                <w:b w:val="0"/>
                <w:sz w:val="17"/>
              </w:rPr>
              <w:t>Feedback service</w:t>
            </w:r>
          </w:p>
        </w:tc>
        <w:tc>
          <w:tcPr>
            <w:tcW w:type="dxa" w:w="1958"/>
            <w:tcMar>
              <w:top w:w="60" w:type="dxa"/>
              <w:bottom w:w="60" w:type="dxa"/>
              <w:start w:w="90" w:type="dxa"/>
              <w:end w:w="90" w:type="dxa"/>
            </w:tcMar>
            <w:shd w:val="clear" w:fill="FFFFFF"/>
          </w:tcPr>
          <w:p>
            <w:r>
              <w:rPr>
                <w:b w:val="0"/>
                <w:sz w:val="17"/>
              </w:rPr>
              <w:t>Retrieval + prompt/policy update</w:t>
            </w:r>
          </w:p>
        </w:tc>
        <w:tc>
          <w:tcPr>
            <w:tcW w:type="dxa" w:w="1958"/>
            <w:tcMar>
              <w:top w:w="60" w:type="dxa"/>
              <w:bottom w:w="60" w:type="dxa"/>
              <w:start w:w="90" w:type="dxa"/>
              <w:end w:w="90" w:type="dxa"/>
            </w:tcMar>
            <w:shd w:val="clear" w:fill="FFFFFF"/>
          </w:tcPr>
          <w:p>
            <w:r>
              <w:rPr>
                <w:b w:val="0"/>
                <w:sz w:val="17"/>
              </w:rPr>
              <w:t>Evals gate `[FR-MI-5]`</w:t>
            </w:r>
          </w:p>
        </w:tc>
      </w:tr>
      <w:tr>
        <w:tc>
          <w:tcPr>
            <w:tcW w:type="dxa" w:w="1958"/>
            <w:tcMar>
              <w:top w:w="60" w:type="dxa"/>
              <w:bottom w:w="60" w:type="dxa"/>
              <w:start w:w="90" w:type="dxa"/>
              <w:end w:w="90" w:type="dxa"/>
            </w:tcMar>
            <w:shd w:val="clear" w:fill="EEF3F8"/>
          </w:tcPr>
          <w:p>
            <w:r>
              <w:rPr>
                <w:b w:val="0"/>
                <w:sz w:val="17"/>
              </w:rPr>
              <w:t>Self-healing</w:t>
            </w:r>
          </w:p>
        </w:tc>
        <w:tc>
          <w:tcPr>
            <w:tcW w:type="dxa" w:w="1958"/>
            <w:tcMar>
              <w:top w:w="60" w:type="dxa"/>
              <w:bottom w:w="60" w:type="dxa"/>
              <w:start w:w="90" w:type="dxa"/>
              <w:end w:w="90" w:type="dxa"/>
            </w:tcMar>
            <w:shd w:val="clear" w:fill="EEF3F8"/>
          </w:tcPr>
          <w:p>
            <w:r>
              <w:rPr>
                <w:b w:val="0"/>
                <w:sz w:val="17"/>
              </w:rPr>
              <w:t>Health/latency/error signals</w:t>
            </w:r>
          </w:p>
        </w:tc>
        <w:tc>
          <w:tcPr>
            <w:tcW w:type="dxa" w:w="1958"/>
            <w:tcMar>
              <w:top w:w="60" w:type="dxa"/>
              <w:bottom w:w="60" w:type="dxa"/>
              <w:start w:w="90" w:type="dxa"/>
              <w:end w:w="90" w:type="dxa"/>
            </w:tcMar>
            <w:shd w:val="clear" w:fill="EEF3F8"/>
          </w:tcPr>
          <w:p>
            <w:r>
              <w:rPr>
                <w:b w:val="0"/>
                <w:sz w:val="17"/>
              </w:rPr>
              <w:t>Runtime supervisor</w:t>
            </w:r>
          </w:p>
        </w:tc>
        <w:tc>
          <w:tcPr>
            <w:tcW w:type="dxa" w:w="1958"/>
            <w:tcMar>
              <w:top w:w="60" w:type="dxa"/>
              <w:bottom w:w="60" w:type="dxa"/>
              <w:start w:w="90" w:type="dxa"/>
              <w:end w:w="90" w:type="dxa"/>
            </w:tcMar>
            <w:shd w:val="clear" w:fill="EEF3F8"/>
          </w:tcPr>
          <w:p>
            <w:r>
              <w:rPr>
                <w:b w:val="0"/>
                <w:sz w:val="17"/>
              </w:rPr>
              <w:t>Reroute / retry / rollback</w:t>
            </w:r>
          </w:p>
        </w:tc>
        <w:tc>
          <w:tcPr>
            <w:tcW w:type="dxa" w:w="1958"/>
            <w:tcMar>
              <w:top w:w="60" w:type="dxa"/>
              <w:bottom w:w="60" w:type="dxa"/>
              <w:start w:w="90" w:type="dxa"/>
              <w:end w:w="90" w:type="dxa"/>
            </w:tcMar>
            <w:shd w:val="clear" w:fill="EEF3F8"/>
          </w:tcPr>
          <w:p>
            <w:r>
              <w:rPr>
                <w:b w:val="0"/>
                <w:sz w:val="17"/>
              </w:rPr>
              <w:t>Circuit breaker `[FR-MI-6]`</w:t>
            </w:r>
          </w:p>
        </w:tc>
      </w:tr>
      <w:tr>
        <w:tc>
          <w:tcPr>
            <w:tcW w:type="dxa" w:w="1958"/>
            <w:tcMar>
              <w:top w:w="60" w:type="dxa"/>
              <w:bottom w:w="60" w:type="dxa"/>
              <w:start w:w="90" w:type="dxa"/>
              <w:end w:w="90" w:type="dxa"/>
            </w:tcMar>
            <w:shd w:val="clear" w:fill="FFFFFF"/>
          </w:tcPr>
          <w:p>
            <w:r>
              <w:rPr>
                <w:b w:val="0"/>
                <w:sz w:val="17"/>
              </w:rPr>
              <w:t>Self-defending</w:t>
            </w:r>
          </w:p>
        </w:tc>
        <w:tc>
          <w:tcPr>
            <w:tcW w:type="dxa" w:w="1958"/>
            <w:tcMar>
              <w:top w:w="60" w:type="dxa"/>
              <w:bottom w:w="60" w:type="dxa"/>
              <w:start w:w="90" w:type="dxa"/>
              <w:end w:w="90" w:type="dxa"/>
            </w:tcMar>
            <w:shd w:val="clear" w:fill="FFFFFF"/>
          </w:tcPr>
          <w:p>
            <w:r>
              <w:rPr>
                <w:b w:val="0"/>
                <w:sz w:val="17"/>
              </w:rPr>
              <w:t>Input + tool-call inspection</w:t>
            </w:r>
          </w:p>
        </w:tc>
        <w:tc>
          <w:tcPr>
            <w:tcW w:type="dxa" w:w="1958"/>
            <w:tcMar>
              <w:top w:w="60" w:type="dxa"/>
              <w:bottom w:w="60" w:type="dxa"/>
              <w:start w:w="90" w:type="dxa"/>
              <w:end w:w="90" w:type="dxa"/>
            </w:tcMar>
            <w:shd w:val="clear" w:fill="FFFFFF"/>
          </w:tcPr>
          <w:p>
            <w:r>
              <w:rPr>
                <w:b w:val="0"/>
                <w:sz w:val="17"/>
              </w:rPr>
              <w:t>Guardrail layer</w:t>
            </w:r>
          </w:p>
        </w:tc>
        <w:tc>
          <w:tcPr>
            <w:tcW w:type="dxa" w:w="1958"/>
            <w:tcMar>
              <w:top w:w="60" w:type="dxa"/>
              <w:bottom w:w="60" w:type="dxa"/>
              <w:start w:w="90" w:type="dxa"/>
              <w:end w:w="90" w:type="dxa"/>
            </w:tcMar>
            <w:shd w:val="clear" w:fill="FFFFFF"/>
          </w:tcPr>
          <w:p>
            <w:r>
              <w:rPr>
                <w:b w:val="0"/>
                <w:sz w:val="17"/>
              </w:rPr>
              <w:t>Block / sanitise / quarantine</w:t>
            </w:r>
          </w:p>
        </w:tc>
        <w:tc>
          <w:tcPr>
            <w:tcW w:type="dxa" w:w="1958"/>
            <w:tcMar>
              <w:top w:w="60" w:type="dxa"/>
              <w:bottom w:w="60" w:type="dxa"/>
              <w:start w:w="90" w:type="dxa"/>
              <w:end w:w="90" w:type="dxa"/>
            </w:tcMar>
            <w:shd w:val="clear" w:fill="FFFFFF"/>
          </w:tcPr>
          <w:p>
            <w:r>
              <w:rPr>
                <w:b w:val="0"/>
                <w:sz w:val="17"/>
              </w:rPr>
              <w:t>Policy point `[FR-MI-7]`</w:t>
            </w:r>
          </w:p>
        </w:tc>
      </w:tr>
    </w:tbl>
    <w:p/>
    <w:p>
      <w:pPr>
        <w:pStyle w:val="Heading1"/>
      </w:pPr>
      <w:r>
        <w:t>8. Data Architecture</w:t>
      </w:r>
    </w:p>
    <w:p>
      <w:pPr>
        <w:jc w:val="center"/>
      </w:pPr>
      <w:r>
        <w:drawing>
          <wp:inline xmlns:a="http://schemas.openxmlformats.org/drawingml/2006/main" xmlns:pic="http://schemas.openxmlformats.org/drawingml/2006/picture">
            <wp:extent cx="6035040" cy="6312159"/>
            <wp:docPr id="5" name="Picture 5"/>
            <wp:cNvGraphicFramePr>
              <a:graphicFrameLocks noChangeAspect="1"/>
            </wp:cNvGraphicFramePr>
            <a:graphic>
              <a:graphicData uri="http://schemas.openxmlformats.org/drawingml/2006/picture">
                <pic:pic>
                  <pic:nvPicPr>
                    <pic:cNvPr id="0" name="mimir_er.png"/>
                    <pic:cNvPicPr/>
                  </pic:nvPicPr>
                  <pic:blipFill>
                    <a:blip r:embed="rId13"/>
                    <a:stretch>
                      <a:fillRect/>
                    </a:stretch>
                  </pic:blipFill>
                  <pic:spPr>
                    <a:xfrm>
                      <a:off x="0" y="0"/>
                      <a:ext cx="6035040" cy="6312159"/>
                    </a:xfrm>
                    <a:prstGeom prst="rect"/>
                  </pic:spPr>
                </pic:pic>
              </a:graphicData>
            </a:graphic>
          </wp:inline>
        </w:drawing>
      </w:r>
    </w:p>
    <w:p>
      <w:pPr>
        <w:jc w:val="center"/>
      </w:pPr>
      <w:r>
        <w:rPr>
          <w:i/>
          <w:color w:val="595959"/>
          <w:sz w:val="17"/>
        </w:rPr>
        <w:t>Figure 8.1 — Mimir data model (agents, tools, sessions, memory, evals, feedback).</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Entity</w:t>
            </w:r>
          </w:p>
        </w:tc>
        <w:tc>
          <w:tcPr>
            <w:tcW w:type="dxa" w:w="4896"/>
            <w:shd w:val="clear" w:fill="0B4884"/>
            <w:tcMar>
              <w:top w:w="60" w:type="dxa"/>
              <w:bottom w:w="60" w:type="dxa"/>
              <w:start w:w="90" w:type="dxa"/>
              <w:end w:w="90" w:type="dxa"/>
            </w:tcMar>
          </w:tcPr>
          <w:p>
            <w:r>
              <w:rPr>
                <w:b/>
                <w:color w:val="FFFFFF"/>
                <w:sz w:val="18"/>
              </w:rPr>
              <w:t>Purpose</w:t>
            </w:r>
          </w:p>
        </w:tc>
      </w:tr>
      <w:tr>
        <w:tc>
          <w:tcPr>
            <w:tcW w:type="dxa" w:w="4896"/>
            <w:tcMar>
              <w:top w:w="60" w:type="dxa"/>
              <w:bottom w:w="60" w:type="dxa"/>
              <w:start w:w="90" w:type="dxa"/>
              <w:end w:w="90" w:type="dxa"/>
            </w:tcMar>
            <w:shd w:val="clear" w:fill="FFFFFF"/>
          </w:tcPr>
          <w:p>
            <w:r>
              <w:rPr>
                <w:b w:val="0"/>
                <w:sz w:val="17"/>
              </w:rPr>
              <w:t>Agent</w:t>
            </w:r>
          </w:p>
        </w:tc>
        <w:tc>
          <w:tcPr>
            <w:tcW w:type="dxa" w:w="4896"/>
            <w:tcMar>
              <w:top w:w="60" w:type="dxa"/>
              <w:bottom w:w="60" w:type="dxa"/>
              <w:start w:w="90" w:type="dxa"/>
              <w:end w:w="90" w:type="dxa"/>
            </w:tcMar>
            <w:shd w:val="clear" w:fill="FFFFFF"/>
          </w:tcPr>
          <w:p>
            <w:r>
              <w:rPr>
                <w:b w:val="0"/>
                <w:sz w:val="17"/>
              </w:rPr>
              <w:t>Definition: prompt, tools, policies, model binding.</w:t>
            </w:r>
          </w:p>
        </w:tc>
      </w:tr>
      <w:tr>
        <w:tc>
          <w:tcPr>
            <w:tcW w:type="dxa" w:w="4896"/>
            <w:tcMar>
              <w:top w:w="60" w:type="dxa"/>
              <w:bottom w:w="60" w:type="dxa"/>
              <w:start w:w="90" w:type="dxa"/>
              <w:end w:w="90" w:type="dxa"/>
            </w:tcMar>
            <w:shd w:val="clear" w:fill="EEF3F8"/>
          </w:tcPr>
          <w:p>
            <w:r>
              <w:rPr>
                <w:b w:val="0"/>
                <w:sz w:val="17"/>
              </w:rPr>
              <w:t>Tool</w:t>
            </w:r>
          </w:p>
        </w:tc>
        <w:tc>
          <w:tcPr>
            <w:tcW w:type="dxa" w:w="4896"/>
            <w:tcMar>
              <w:top w:w="60" w:type="dxa"/>
              <w:bottom w:w="60" w:type="dxa"/>
              <w:start w:w="90" w:type="dxa"/>
              <w:end w:w="90" w:type="dxa"/>
            </w:tcMar>
            <w:shd w:val="clear" w:fill="EEF3F8"/>
          </w:tcPr>
          <w:p>
            <w:r>
              <w:rPr>
                <w:b w:val="0"/>
                <w:sz w:val="17"/>
              </w:rPr>
              <w:t>Typed capability (fabric query, action, function, MCP).</w:t>
            </w:r>
          </w:p>
        </w:tc>
      </w:tr>
      <w:tr>
        <w:tc>
          <w:tcPr>
            <w:tcW w:type="dxa" w:w="4896"/>
            <w:tcMar>
              <w:top w:w="60" w:type="dxa"/>
              <w:bottom w:w="60" w:type="dxa"/>
              <w:start w:w="90" w:type="dxa"/>
              <w:end w:w="90" w:type="dxa"/>
            </w:tcMar>
            <w:shd w:val="clear" w:fill="FFFFFF"/>
          </w:tcPr>
          <w:p>
            <w:r>
              <w:rPr>
                <w:b w:val="0"/>
                <w:sz w:val="17"/>
              </w:rPr>
              <w:t>Session</w:t>
            </w:r>
          </w:p>
        </w:tc>
        <w:tc>
          <w:tcPr>
            <w:tcW w:type="dxa" w:w="4896"/>
            <w:tcMar>
              <w:top w:w="60" w:type="dxa"/>
              <w:bottom w:w="60" w:type="dxa"/>
              <w:start w:w="90" w:type="dxa"/>
              <w:end w:w="90" w:type="dxa"/>
            </w:tcMar>
            <w:shd w:val="clear" w:fill="FFFFFF"/>
          </w:tcPr>
          <w:p>
            <w:r>
              <w:rPr>
                <w:b w:val="0"/>
                <w:sz w:val="17"/>
              </w:rPr>
              <w:t>One agent execution with plan/steps.</w:t>
            </w:r>
          </w:p>
        </w:tc>
      </w:tr>
      <w:tr>
        <w:tc>
          <w:tcPr>
            <w:tcW w:type="dxa" w:w="4896"/>
            <w:tcMar>
              <w:top w:w="60" w:type="dxa"/>
              <w:bottom w:w="60" w:type="dxa"/>
              <w:start w:w="90" w:type="dxa"/>
              <w:end w:w="90" w:type="dxa"/>
            </w:tcMar>
            <w:shd w:val="clear" w:fill="EEF3F8"/>
          </w:tcPr>
          <w:p>
            <w:r>
              <w:rPr>
                <w:b w:val="0"/>
                <w:sz w:val="17"/>
              </w:rPr>
              <w:t>MemoryRecord</w:t>
            </w:r>
          </w:p>
        </w:tc>
        <w:tc>
          <w:tcPr>
            <w:tcW w:type="dxa" w:w="4896"/>
            <w:tcMar>
              <w:top w:w="60" w:type="dxa"/>
              <w:bottom w:w="60" w:type="dxa"/>
              <w:start w:w="90" w:type="dxa"/>
              <w:end w:w="90" w:type="dxa"/>
            </w:tcMar>
            <w:shd w:val="clear" w:fill="EEF3F8"/>
          </w:tcPr>
          <w:p>
            <w:r>
              <w:rPr>
                <w:b w:val="0"/>
                <w:sz w:val="17"/>
              </w:rPr>
              <w:t>Retrievable agent memory (PQ-encrypted). `[NFR-PQ-2]`</w:t>
            </w:r>
          </w:p>
        </w:tc>
      </w:tr>
      <w:tr>
        <w:tc>
          <w:tcPr>
            <w:tcW w:type="dxa" w:w="4896"/>
            <w:tcMar>
              <w:top w:w="60" w:type="dxa"/>
              <w:bottom w:w="60" w:type="dxa"/>
              <w:start w:w="90" w:type="dxa"/>
              <w:end w:w="90" w:type="dxa"/>
            </w:tcMar>
            <w:shd w:val="clear" w:fill="FFFFFF"/>
          </w:tcPr>
          <w:p>
            <w:r>
              <w:rPr>
                <w:b w:val="0"/>
                <w:sz w:val="17"/>
              </w:rPr>
              <w:t>EvalCase / EvalRun</w:t>
            </w:r>
          </w:p>
        </w:tc>
        <w:tc>
          <w:tcPr>
            <w:tcW w:type="dxa" w:w="4896"/>
            <w:tcMar>
              <w:top w:w="60" w:type="dxa"/>
              <w:bottom w:w="60" w:type="dxa"/>
              <w:start w:w="90" w:type="dxa"/>
              <w:end w:w="90" w:type="dxa"/>
            </w:tcMar>
            <w:shd w:val="clear" w:fill="FFFFFF"/>
          </w:tcPr>
          <w:p>
            <w:r>
              <w:rPr>
                <w:b w:val="0"/>
                <w:sz w:val="17"/>
              </w:rPr>
              <w:t>Test case and its scored result. `[NFR-AI-1]`</w:t>
            </w:r>
          </w:p>
        </w:tc>
      </w:tr>
      <w:tr>
        <w:tc>
          <w:tcPr>
            <w:tcW w:type="dxa" w:w="4896"/>
            <w:tcMar>
              <w:top w:w="60" w:type="dxa"/>
              <w:bottom w:w="60" w:type="dxa"/>
              <w:start w:w="90" w:type="dxa"/>
              <w:end w:w="90" w:type="dxa"/>
            </w:tcMar>
            <w:shd w:val="clear" w:fill="EEF3F8"/>
          </w:tcPr>
          <w:p>
            <w:r>
              <w:rPr>
                <w:b w:val="0"/>
                <w:sz w:val="17"/>
              </w:rPr>
              <w:t>FeedbackRecord</w:t>
            </w:r>
          </w:p>
        </w:tc>
        <w:tc>
          <w:tcPr>
            <w:tcW w:type="dxa" w:w="4896"/>
            <w:tcMar>
              <w:top w:w="60" w:type="dxa"/>
              <w:bottom w:w="60" w:type="dxa"/>
              <w:start w:w="90" w:type="dxa"/>
              <w:end w:w="90" w:type="dxa"/>
            </w:tcMar>
            <w:shd w:val="clear" w:fill="EEF3F8"/>
          </w:tcPr>
          <w:p>
            <w:r>
              <w:rPr>
                <w:b w:val="0"/>
                <w:sz w:val="17"/>
              </w:rPr>
              <w:t>Governed feedback for self-learning. `[FR-MI-5]`</w:t>
            </w:r>
          </w:p>
        </w:tc>
      </w:tr>
      <w:tr>
        <w:tc>
          <w:tcPr>
            <w:tcW w:type="dxa" w:w="4896"/>
            <w:tcMar>
              <w:top w:w="60" w:type="dxa"/>
              <w:bottom w:w="60" w:type="dxa"/>
              <w:start w:w="90" w:type="dxa"/>
              <w:end w:w="90" w:type="dxa"/>
            </w:tcMar>
            <w:shd w:val="clear" w:fill="FFFFFF"/>
          </w:tcPr>
          <w:p>
            <w:r>
              <w:rPr>
                <w:b w:val="0"/>
                <w:sz w:val="17"/>
              </w:rPr>
              <w:t>GuardrailEvent</w:t>
            </w:r>
          </w:p>
        </w:tc>
        <w:tc>
          <w:tcPr>
            <w:tcW w:type="dxa" w:w="4896"/>
            <w:tcMar>
              <w:top w:w="60" w:type="dxa"/>
              <w:bottom w:w="60" w:type="dxa"/>
              <w:start w:w="90" w:type="dxa"/>
              <w:end w:w="90" w:type="dxa"/>
            </w:tcMar>
            <w:shd w:val="clear" w:fill="FFFFFF"/>
          </w:tcPr>
          <w:p>
            <w:r>
              <w:rPr>
                <w:b w:val="0"/>
                <w:sz w:val="17"/>
              </w:rPr>
              <w:t>A self-defending block/sanitise event. `[FR-MI-7]`</w:t>
            </w:r>
          </w:p>
        </w:tc>
      </w:tr>
    </w:tbl>
    <w:p/>
    <w:p>
      <w:pPr>
        <w:pStyle w:val="Heading2"/>
      </w:pPr>
      <w:r>
        <w:t>8.2 Data stores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Store</w:t>
            </w:r>
          </w:p>
        </w:tc>
        <w:tc>
          <w:tcPr>
            <w:tcW w:type="dxa" w:w="3264"/>
            <w:shd w:val="clear" w:fill="0B4884"/>
            <w:tcMar>
              <w:top w:w="60" w:type="dxa"/>
              <w:bottom w:w="60" w:type="dxa"/>
              <w:start w:w="90" w:type="dxa"/>
              <w:end w:w="90" w:type="dxa"/>
            </w:tcMar>
          </w:tcPr>
          <w:p>
            <w:r>
              <w:rPr>
                <w:b/>
                <w:color w:val="FFFFFF"/>
                <w:sz w:val="18"/>
              </w:rPr>
              <w:t>Contents</w:t>
            </w:r>
          </w:p>
        </w:tc>
        <w:tc>
          <w:tcPr>
            <w:tcW w:type="dxa" w:w="3264"/>
            <w:shd w:val="clear" w:fill="0B4884"/>
            <w:tcMar>
              <w:top w:w="60" w:type="dxa"/>
              <w:bottom w:w="60" w:type="dxa"/>
              <w:start w:w="90" w:type="dxa"/>
              <w:end w:w="90" w:type="dxa"/>
            </w:tcMar>
          </w:tcPr>
          <w:p>
            <w:r>
              <w:rPr>
                <w:b/>
                <w:color w:val="FFFFFF"/>
                <w:sz w:val="18"/>
              </w:rPr>
              <w:t>Crypto</w:t>
            </w:r>
          </w:p>
        </w:tc>
      </w:tr>
      <w:tr>
        <w:tc>
          <w:tcPr>
            <w:tcW w:type="dxa" w:w="3264"/>
            <w:tcMar>
              <w:top w:w="60" w:type="dxa"/>
              <w:bottom w:w="60" w:type="dxa"/>
              <w:start w:w="90" w:type="dxa"/>
              <w:end w:w="90" w:type="dxa"/>
            </w:tcMar>
            <w:shd w:val="clear" w:fill="FFFFFF"/>
          </w:tcPr>
          <w:p>
            <w:r>
              <w:rPr>
                <w:b w:val="0"/>
                <w:sz w:val="17"/>
              </w:rPr>
              <w:t>Model store</w:t>
            </w:r>
          </w:p>
        </w:tc>
        <w:tc>
          <w:tcPr>
            <w:tcW w:type="dxa" w:w="3264"/>
            <w:tcMar>
              <w:top w:w="60" w:type="dxa"/>
              <w:bottom w:w="60" w:type="dxa"/>
              <w:start w:w="90" w:type="dxa"/>
              <w:end w:w="90" w:type="dxa"/>
            </w:tcMar>
            <w:shd w:val="clear" w:fill="FFFFFF"/>
          </w:tcPr>
          <w:p>
            <w:r>
              <w:rPr>
                <w:b w:val="0"/>
                <w:sz w:val="17"/>
              </w:rPr>
              <w:t>GLM 5.2 weights + adapters</w:t>
            </w:r>
          </w:p>
        </w:tc>
        <w:tc>
          <w:tcPr>
            <w:tcW w:type="dxa" w:w="3264"/>
            <w:tcMar>
              <w:top w:w="60" w:type="dxa"/>
              <w:bottom w:w="60" w:type="dxa"/>
              <w:start w:w="90" w:type="dxa"/>
              <w:end w:w="90" w:type="dxa"/>
            </w:tcMar>
            <w:shd w:val="clear" w:fill="FFFFFF"/>
          </w:tcPr>
          <w:p>
            <w:r>
              <w:rPr>
                <w:b w:val="0"/>
                <w:sz w:val="17"/>
              </w:rPr>
              <w:t>PQ-signed, encrypted `[NFR-PQ-3]`</w:t>
            </w:r>
          </w:p>
        </w:tc>
      </w:tr>
      <w:tr>
        <w:tc>
          <w:tcPr>
            <w:tcW w:type="dxa" w:w="3264"/>
            <w:tcMar>
              <w:top w:w="60" w:type="dxa"/>
              <w:bottom w:w="60" w:type="dxa"/>
              <w:start w:w="90" w:type="dxa"/>
              <w:end w:w="90" w:type="dxa"/>
            </w:tcMar>
            <w:shd w:val="clear" w:fill="EEF3F8"/>
          </w:tcPr>
          <w:p>
            <w:r>
              <w:rPr>
                <w:b w:val="0"/>
                <w:sz w:val="17"/>
              </w:rPr>
              <w:t>Vector/memory store</w:t>
            </w:r>
          </w:p>
        </w:tc>
        <w:tc>
          <w:tcPr>
            <w:tcW w:type="dxa" w:w="3264"/>
            <w:tcMar>
              <w:top w:w="60" w:type="dxa"/>
              <w:bottom w:w="60" w:type="dxa"/>
              <w:start w:w="90" w:type="dxa"/>
              <w:end w:w="90" w:type="dxa"/>
            </w:tcMar>
            <w:shd w:val="clear" w:fill="EEF3F8"/>
          </w:tcPr>
          <w:p>
            <w:r>
              <w:rPr>
                <w:b w:val="0"/>
                <w:sz w:val="17"/>
              </w:rPr>
              <w:t>Embeddings, agent memory</w:t>
            </w:r>
          </w:p>
        </w:tc>
        <w:tc>
          <w:tcPr>
            <w:tcW w:type="dxa" w:w="3264"/>
            <w:tcMar>
              <w:top w:w="60" w:type="dxa"/>
              <w:bottom w:w="60" w:type="dxa"/>
              <w:start w:w="90" w:type="dxa"/>
              <w:end w:w="90" w:type="dxa"/>
            </w:tcMar>
            <w:shd w:val="clear" w:fill="EEF3F8"/>
          </w:tcPr>
          <w:p>
            <w:r>
              <w:rPr>
                <w:b w:val="0"/>
                <w:sz w:val="17"/>
              </w:rPr>
              <w:t>PQ-wrapped `[NFR-PQ-2]`</w:t>
            </w:r>
          </w:p>
        </w:tc>
      </w:tr>
      <w:tr>
        <w:tc>
          <w:tcPr>
            <w:tcW w:type="dxa" w:w="3264"/>
            <w:tcMar>
              <w:top w:w="60" w:type="dxa"/>
              <w:bottom w:w="60" w:type="dxa"/>
              <w:start w:w="90" w:type="dxa"/>
              <w:end w:w="90" w:type="dxa"/>
            </w:tcMar>
            <w:shd w:val="clear" w:fill="FFFFFF"/>
          </w:tcPr>
          <w:p>
            <w:r>
              <w:rPr>
                <w:b w:val="0"/>
                <w:sz w:val="17"/>
              </w:rPr>
              <w:t>Evals store</w:t>
            </w:r>
          </w:p>
        </w:tc>
        <w:tc>
          <w:tcPr>
            <w:tcW w:type="dxa" w:w="3264"/>
            <w:tcMar>
              <w:top w:w="60" w:type="dxa"/>
              <w:bottom w:w="60" w:type="dxa"/>
              <w:start w:w="90" w:type="dxa"/>
              <w:end w:w="90" w:type="dxa"/>
            </w:tcMar>
            <w:shd w:val="clear" w:fill="FFFFFF"/>
          </w:tcPr>
          <w:p>
            <w:r>
              <w:rPr>
                <w:b w:val="0"/>
                <w:sz w:val="17"/>
              </w:rPr>
              <w:t>Cases, runs, scores</w:t>
            </w:r>
          </w:p>
        </w:tc>
        <w:tc>
          <w:tcPr>
            <w:tcW w:type="dxa" w:w="3264"/>
            <w:tcMar>
              <w:top w:w="60" w:type="dxa"/>
              <w:bottom w:w="60" w:type="dxa"/>
              <w:start w:w="90" w:type="dxa"/>
              <w:end w:w="90" w:type="dxa"/>
            </w:tcMar>
            <w:shd w:val="clear" w:fill="FFFFFF"/>
          </w:tcPr>
          <w:p>
            <w:r>
              <w:rPr>
                <w:b w:val="0"/>
                <w:sz w:val="17"/>
              </w:rPr>
              <w:t>PQ-wrapped</w:t>
            </w:r>
          </w:p>
        </w:tc>
      </w:tr>
    </w:tbl>
    <w:p/>
    <w:p>
      <w:pPr>
        <w:pStyle w:val="Heading1"/>
      </w:pPr>
      <w:r>
        <w:t>9. Integration Architecture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Surface</w:t>
            </w:r>
          </w:p>
        </w:tc>
        <w:tc>
          <w:tcPr>
            <w:tcW w:type="dxa" w:w="3264"/>
            <w:shd w:val="clear" w:fill="0B4884"/>
            <w:tcMar>
              <w:top w:w="60" w:type="dxa"/>
              <w:bottom w:w="60" w:type="dxa"/>
              <w:start w:w="90" w:type="dxa"/>
              <w:end w:w="90" w:type="dxa"/>
            </w:tcMar>
          </w:tcPr>
          <w:p>
            <w:r>
              <w:rPr>
                <w:b/>
                <w:color w:val="FFFFFF"/>
                <w:sz w:val="18"/>
              </w:rPr>
              <w:t>Protocol</w:t>
            </w:r>
          </w:p>
        </w:tc>
        <w:tc>
          <w:tcPr>
            <w:tcW w:type="dxa" w:w="3264"/>
            <w:shd w:val="clear" w:fill="0B4884"/>
            <w:tcMar>
              <w:top w:w="60" w:type="dxa"/>
              <w:bottom w:w="60" w:type="dxa"/>
              <w:start w:w="90" w:type="dxa"/>
              <w:end w:w="90" w:type="dxa"/>
            </w:tcMar>
          </w:tcPr>
          <w:p>
            <w:r>
              <w:rPr>
                <w:b/>
                <w:color w:val="FFFFFF"/>
                <w:sz w:val="18"/>
              </w:rPr>
              <w:t>Purpose</w:t>
            </w:r>
          </w:p>
        </w:tc>
      </w:tr>
      <w:tr>
        <w:tc>
          <w:tcPr>
            <w:tcW w:type="dxa" w:w="3264"/>
            <w:tcMar>
              <w:top w:w="60" w:type="dxa"/>
              <w:bottom w:w="60" w:type="dxa"/>
              <w:start w:w="90" w:type="dxa"/>
              <w:end w:w="90" w:type="dxa"/>
            </w:tcMar>
            <w:shd w:val="clear" w:fill="FFFFFF"/>
          </w:tcPr>
          <w:p>
            <w:r>
              <w:rPr>
                <w:b w:val="0"/>
                <w:sz w:val="17"/>
              </w:rPr>
              <w:t>Inference API</w:t>
            </w:r>
          </w:p>
        </w:tc>
        <w:tc>
          <w:tcPr>
            <w:tcW w:type="dxa" w:w="3264"/>
            <w:tcMar>
              <w:top w:w="60" w:type="dxa"/>
              <w:bottom w:w="60" w:type="dxa"/>
              <w:start w:w="90" w:type="dxa"/>
              <w:end w:w="90" w:type="dxa"/>
            </w:tcMar>
            <w:shd w:val="clear" w:fill="FFFFFF"/>
          </w:tcPr>
          <w:p>
            <w:r>
              <w:rPr>
                <w:b w:val="0"/>
                <w:sz w:val="17"/>
              </w:rPr>
              <w:t>gRPC over PQ-mTLS</w:t>
            </w:r>
          </w:p>
        </w:tc>
        <w:tc>
          <w:tcPr>
            <w:tcW w:type="dxa" w:w="3264"/>
            <w:tcMar>
              <w:top w:w="60" w:type="dxa"/>
              <w:bottom w:w="60" w:type="dxa"/>
              <w:start w:w="90" w:type="dxa"/>
              <w:end w:w="90" w:type="dxa"/>
            </w:tcMar>
            <w:shd w:val="clear" w:fill="FFFFFF"/>
          </w:tcPr>
          <w:p>
            <w:r>
              <w:rPr>
                <w:b w:val="0"/>
                <w:sz w:val="17"/>
              </w:rPr>
              <w:t>Completions/embeddings for the suite `[FR-MI-8]`</w:t>
            </w:r>
          </w:p>
        </w:tc>
      </w:tr>
      <w:tr>
        <w:tc>
          <w:tcPr>
            <w:tcW w:type="dxa" w:w="3264"/>
            <w:tcMar>
              <w:top w:w="60" w:type="dxa"/>
              <w:bottom w:w="60" w:type="dxa"/>
              <w:start w:w="90" w:type="dxa"/>
              <w:end w:w="90" w:type="dxa"/>
            </w:tcMar>
            <w:shd w:val="clear" w:fill="EEF3F8"/>
          </w:tcPr>
          <w:p>
            <w:r>
              <w:rPr>
                <w:b w:val="0"/>
                <w:sz w:val="17"/>
              </w:rPr>
              <w:t>Agent API</w:t>
            </w:r>
          </w:p>
        </w:tc>
        <w:tc>
          <w:tcPr>
            <w:tcW w:type="dxa" w:w="3264"/>
            <w:tcMar>
              <w:top w:w="60" w:type="dxa"/>
              <w:bottom w:w="60" w:type="dxa"/>
              <w:start w:w="90" w:type="dxa"/>
              <w:end w:w="90" w:type="dxa"/>
            </w:tcMar>
            <w:shd w:val="clear" w:fill="EEF3F8"/>
          </w:tcPr>
          <w:p>
            <w:r>
              <w:rPr>
                <w:b w:val="0"/>
                <w:sz w:val="17"/>
              </w:rPr>
              <w:t>gRPC/REST</w:t>
            </w:r>
          </w:p>
        </w:tc>
        <w:tc>
          <w:tcPr>
            <w:tcW w:type="dxa" w:w="3264"/>
            <w:tcMar>
              <w:top w:w="60" w:type="dxa"/>
              <w:bottom w:w="60" w:type="dxa"/>
              <w:start w:w="90" w:type="dxa"/>
              <w:end w:w="90" w:type="dxa"/>
            </w:tcMar>
            <w:shd w:val="clear" w:fill="EEF3F8"/>
          </w:tcPr>
          <w:p>
            <w:r>
              <w:rPr>
                <w:b w:val="0"/>
                <w:sz w:val="17"/>
              </w:rPr>
              <w:t>Invoke/monitor agents</w:t>
            </w:r>
          </w:p>
        </w:tc>
      </w:tr>
      <w:tr>
        <w:tc>
          <w:tcPr>
            <w:tcW w:type="dxa" w:w="3264"/>
            <w:tcMar>
              <w:top w:w="60" w:type="dxa"/>
              <w:bottom w:w="60" w:type="dxa"/>
              <w:start w:w="90" w:type="dxa"/>
              <w:end w:w="90" w:type="dxa"/>
            </w:tcMar>
            <w:shd w:val="clear" w:fill="FFFFFF"/>
          </w:tcPr>
          <w:p>
            <w:r>
              <w:rPr>
                <w:b w:val="0"/>
                <w:sz w:val="17"/>
              </w:rPr>
              <w:t>Logic/Function API</w:t>
            </w:r>
          </w:p>
        </w:tc>
        <w:tc>
          <w:tcPr>
            <w:tcW w:type="dxa" w:w="3264"/>
            <w:tcMar>
              <w:top w:w="60" w:type="dxa"/>
              <w:bottom w:w="60" w:type="dxa"/>
              <w:start w:w="90" w:type="dxa"/>
              <w:end w:w="90" w:type="dxa"/>
            </w:tcMar>
            <w:shd w:val="clear" w:fill="FFFFFF"/>
          </w:tcPr>
          <w:p>
            <w:r>
              <w:rPr>
                <w:b w:val="0"/>
                <w:sz w:val="17"/>
              </w:rPr>
              <w:t>gRPC</w:t>
            </w:r>
          </w:p>
        </w:tc>
        <w:tc>
          <w:tcPr>
            <w:tcW w:type="dxa" w:w="3264"/>
            <w:tcMar>
              <w:top w:w="60" w:type="dxa"/>
              <w:bottom w:w="60" w:type="dxa"/>
              <w:start w:w="90" w:type="dxa"/>
              <w:end w:w="90" w:type="dxa"/>
            </w:tcMar>
            <w:shd w:val="clear" w:fill="FFFFFF"/>
          </w:tcPr>
          <w:p>
            <w:r>
              <w:rPr>
                <w:b w:val="0"/>
                <w:sz w:val="17"/>
              </w:rPr>
              <w:t>Run AI-backed functions (called by Forge/Heimdall)</w:t>
            </w:r>
          </w:p>
        </w:tc>
      </w:tr>
      <w:tr>
        <w:tc>
          <w:tcPr>
            <w:tcW w:type="dxa" w:w="3264"/>
            <w:tcMar>
              <w:top w:w="60" w:type="dxa"/>
              <w:bottom w:w="60" w:type="dxa"/>
              <w:start w:w="90" w:type="dxa"/>
              <w:end w:w="90" w:type="dxa"/>
            </w:tcMar>
            <w:shd w:val="clear" w:fill="EEF3F8"/>
          </w:tcPr>
          <w:p>
            <w:r>
              <w:rPr>
                <w:b w:val="0"/>
                <w:sz w:val="17"/>
              </w:rPr>
              <w:t>MCP tools</w:t>
            </w:r>
          </w:p>
        </w:tc>
        <w:tc>
          <w:tcPr>
            <w:tcW w:type="dxa" w:w="3264"/>
            <w:tcMar>
              <w:top w:w="60" w:type="dxa"/>
              <w:bottom w:w="60" w:type="dxa"/>
              <w:start w:w="90" w:type="dxa"/>
              <w:end w:w="90" w:type="dxa"/>
            </w:tcMar>
            <w:shd w:val="clear" w:fill="EEF3F8"/>
          </w:tcPr>
          <w:p>
            <w:r>
              <w:rPr>
                <w:b w:val="0"/>
                <w:sz w:val="17"/>
              </w:rPr>
              <w:t>MCP over PQ-mTLS</w:t>
            </w:r>
          </w:p>
        </w:tc>
        <w:tc>
          <w:tcPr>
            <w:tcW w:type="dxa" w:w="3264"/>
            <w:tcMar>
              <w:top w:w="60" w:type="dxa"/>
              <w:bottom w:w="60" w:type="dxa"/>
              <w:start w:w="90" w:type="dxa"/>
              <w:end w:w="90" w:type="dxa"/>
            </w:tcMar>
            <w:shd w:val="clear" w:fill="EEF3F8"/>
          </w:tcPr>
          <w:p>
            <w:r>
              <w:rPr>
                <w:b w:val="0"/>
                <w:sz w:val="17"/>
              </w:rPr>
              <w:t>Governed tool access to the fabric `[DD-4]`</w:t>
            </w:r>
          </w:p>
        </w:tc>
      </w:tr>
    </w:tbl>
    <w:p/>
    <w:p>
      <w:pPr>
        <w:pStyle w:val="Heading2"/>
      </w:pPr>
      <w:r>
        <w:t>9.2 Primary sequence</w:t>
      </w:r>
    </w:p>
    <w:p>
      <w:pPr>
        <w:jc w:val="center"/>
      </w:pPr>
      <w:r>
        <w:drawing>
          <wp:inline xmlns:a="http://schemas.openxmlformats.org/drawingml/2006/main" xmlns:pic="http://schemas.openxmlformats.org/drawingml/2006/picture">
            <wp:extent cx="6035040" cy="2555655"/>
            <wp:docPr id="6" name="Picture 6"/>
            <wp:cNvGraphicFramePr>
              <a:graphicFrameLocks noChangeAspect="1"/>
            </wp:cNvGraphicFramePr>
            <a:graphic>
              <a:graphicData uri="http://schemas.openxmlformats.org/drawingml/2006/picture">
                <pic:pic>
                  <pic:nvPicPr>
                    <pic:cNvPr id="0" name="mimir_seq_primary.png"/>
                    <pic:cNvPicPr/>
                  </pic:nvPicPr>
                  <pic:blipFill>
                    <a:blip r:embed="rId14"/>
                    <a:stretch>
                      <a:fillRect/>
                    </a:stretch>
                  </pic:blipFill>
                  <pic:spPr>
                    <a:xfrm>
                      <a:off x="0" y="0"/>
                      <a:ext cx="6035040" cy="2555655"/>
                    </a:xfrm>
                    <a:prstGeom prst="rect"/>
                  </pic:spPr>
                </pic:pic>
              </a:graphicData>
            </a:graphic>
          </wp:inline>
        </w:drawing>
      </w:r>
    </w:p>
    <w:p>
      <w:pPr>
        <w:jc w:val="center"/>
      </w:pPr>
      <w:r>
        <w:rPr>
          <w:i/>
          <w:color w:val="595959"/>
          <w:sz w:val="17"/>
        </w:rPr>
        <w:t>Figure 9.1 — OAG-grounded agent turn: retrieve → plan → guard → act → evaluate → respond.</w:t>
      </w:r>
    </w:p>
    <w:p/>
    <w:p>
      <w:pPr>
        <w:pStyle w:val="Heading2"/>
      </w:pPr>
      <w:r>
        <w:t>9.3 User journey</w:t>
      </w:r>
    </w:p>
    <w:p>
      <w:pPr>
        <w:jc w:val="center"/>
      </w:pPr>
      <w:r>
        <w:drawing>
          <wp:inline xmlns:a="http://schemas.openxmlformats.org/drawingml/2006/main" xmlns:pic="http://schemas.openxmlformats.org/drawingml/2006/picture">
            <wp:extent cx="6035040" cy="4349232"/>
            <wp:docPr id="7" name="Picture 7"/>
            <wp:cNvGraphicFramePr>
              <a:graphicFrameLocks noChangeAspect="1"/>
            </wp:cNvGraphicFramePr>
            <a:graphic>
              <a:graphicData uri="http://schemas.openxmlformats.org/drawingml/2006/picture">
                <pic:pic>
                  <pic:nvPicPr>
                    <pic:cNvPr id="0" name="mimir_journey.png"/>
                    <pic:cNvPicPr/>
                  </pic:nvPicPr>
                  <pic:blipFill>
                    <a:blip r:embed="rId15"/>
                    <a:stretch>
                      <a:fillRect/>
                    </a:stretch>
                  </pic:blipFill>
                  <pic:spPr>
                    <a:xfrm>
                      <a:off x="0" y="0"/>
                      <a:ext cx="6035040" cy="4349232"/>
                    </a:xfrm>
                    <a:prstGeom prst="rect"/>
                  </pic:spPr>
                </pic:pic>
              </a:graphicData>
            </a:graphic>
          </wp:inline>
        </w:drawing>
      </w:r>
    </w:p>
    <w:p>
      <w:pPr>
        <w:jc w:val="center"/>
      </w:pPr>
      <w:r>
        <w:rPr>
          <w:i/>
          <w:color w:val="595959"/>
          <w:sz w:val="17"/>
        </w:rPr>
        <w:t>Figure 9.2 — Agent author primary journey.</w:t>
      </w:r>
    </w:p>
    <w:p/>
    <w:p>
      <w:pPr>
        <w:pStyle w:val="Heading1"/>
      </w:pPr>
      <w:r>
        <w:t>10. Infrastructure &amp; Deployment</w:t>
      </w:r>
    </w:p>
    <w:p>
      <w:pPr>
        <w:jc w:val="center"/>
      </w:pPr>
      <w:r>
        <w:drawing>
          <wp:inline xmlns:a="http://schemas.openxmlformats.org/drawingml/2006/main" xmlns:pic="http://schemas.openxmlformats.org/drawingml/2006/picture">
            <wp:extent cx="6035040" cy="3641038"/>
            <wp:docPr id="8" name="Picture 8"/>
            <wp:cNvGraphicFramePr>
              <a:graphicFrameLocks noChangeAspect="1"/>
            </wp:cNvGraphicFramePr>
            <a:graphic>
              <a:graphicData uri="http://schemas.openxmlformats.org/drawingml/2006/picture">
                <pic:pic>
                  <pic:nvPicPr>
                    <pic:cNvPr id="0" name="mimir_deployment.png"/>
                    <pic:cNvPicPr/>
                  </pic:nvPicPr>
                  <pic:blipFill>
                    <a:blip r:embed="rId16"/>
                    <a:stretch>
                      <a:fillRect/>
                    </a:stretch>
                  </pic:blipFill>
                  <pic:spPr>
                    <a:xfrm>
                      <a:off x="0" y="0"/>
                      <a:ext cx="6035040" cy="3641038"/>
                    </a:xfrm>
                    <a:prstGeom prst="rect"/>
                  </pic:spPr>
                </pic:pic>
              </a:graphicData>
            </a:graphic>
          </wp:inline>
        </w:drawing>
      </w:r>
    </w:p>
    <w:p>
      <w:pPr>
        <w:jc w:val="center"/>
      </w:pPr>
      <w:r>
        <w:rPr>
          <w:i/>
          <w:color w:val="595959"/>
          <w:sz w:val="17"/>
        </w:rPr>
        <w:t>Figure 10.1 — Mimir deployment (GPU inference pool + agent/eval workers).</w:t>
      </w:r>
    </w:p>
    <w:p/>
    <w:p>
      <w:r>
        <w:rPr>
          <w:sz w:val="21"/>
        </w:rPr>
        <w:t xml:space="preserve">Inference runs on a GPU node pool; agent, guardrail, and eval services are horizontally scalable CPU workloads; the model store is PQ-signed and verified on load. </w:t>
      </w:r>
      <w:r>
        <w:rPr>
          <w:rFonts w:ascii="Consolas" w:hAnsi="Consolas"/>
          <w:color w:val="0B4884"/>
          <w:sz w:val="18"/>
        </w:rPr>
        <w:t>[NFR-PERF-1]</w:t>
      </w:r>
      <w:r>
        <w:rPr>
          <w:sz w:val="21"/>
        </w:rPr>
        <w:t xml:space="preserve"> </w:t>
      </w:r>
      <w:r>
        <w:rPr>
          <w:rFonts w:ascii="Consolas" w:hAnsi="Consolas"/>
          <w:color w:val="0B4884"/>
          <w:sz w:val="18"/>
        </w:rPr>
        <w:t>[NFR-PQ-3]</w:t>
      </w:r>
      <w:r>
        <w:rPr>
          <w:sz w:val="21"/>
        </w:rPr>
      </w:r>
    </w:p>
    <w:p>
      <w:pPr>
        <w:pStyle w:val="Heading2"/>
      </w:pPr>
      <w:r>
        <w:t>10.2 CI/CD</w:t>
      </w:r>
    </w:p>
    <w:p>
      <w:pPr>
        <w:jc w:val="center"/>
      </w:pPr>
      <w:r>
        <w:drawing>
          <wp:inline xmlns:a="http://schemas.openxmlformats.org/drawingml/2006/main" xmlns:pic="http://schemas.openxmlformats.org/drawingml/2006/picture">
            <wp:extent cx="6035040" cy="585029"/>
            <wp:docPr id="9" name="Picture 9"/>
            <wp:cNvGraphicFramePr>
              <a:graphicFrameLocks noChangeAspect="1"/>
            </wp:cNvGraphicFramePr>
            <a:graphic>
              <a:graphicData uri="http://schemas.openxmlformats.org/drawingml/2006/picture">
                <pic:pic>
                  <pic:nvPicPr>
                    <pic:cNvPr id="0" name="mimir_cicd.png"/>
                    <pic:cNvPicPr/>
                  </pic:nvPicPr>
                  <pic:blipFill>
                    <a:blip r:embed="rId17"/>
                    <a:stretch>
                      <a:fillRect/>
                    </a:stretch>
                  </pic:blipFill>
                  <pic:spPr>
                    <a:xfrm>
                      <a:off x="0" y="0"/>
                      <a:ext cx="6035040" cy="585029"/>
                    </a:xfrm>
                    <a:prstGeom prst="rect"/>
                  </pic:spPr>
                </pic:pic>
              </a:graphicData>
            </a:graphic>
          </wp:inline>
        </w:drawing>
      </w:r>
    </w:p>
    <w:p>
      <w:pPr>
        <w:jc w:val="center"/>
      </w:pPr>
      <w:r>
        <w:rPr>
          <w:i/>
          <w:color w:val="595959"/>
          <w:sz w:val="17"/>
        </w:rPr>
        <w:t>Figure 10.2 — Mimir pipeline incl. model-artefact signing and Evals gate.</w:t>
      </w:r>
    </w:p>
    <w:p/>
    <w:p>
      <w:pPr>
        <w:pStyle w:val="Heading1"/>
      </w:pPr>
      <w:r>
        <w:t>11. Security Architecture</w:t>
      </w:r>
    </w:p>
    <w:p>
      <w:pPr>
        <w:jc w:val="center"/>
      </w:pPr>
      <w:r>
        <w:drawing>
          <wp:inline xmlns:a="http://schemas.openxmlformats.org/drawingml/2006/main" xmlns:pic="http://schemas.openxmlformats.org/drawingml/2006/picture">
            <wp:extent cx="3364992" cy="10777728"/>
            <wp:docPr id="10" name="Picture 10"/>
            <wp:cNvGraphicFramePr>
              <a:graphicFrameLocks noChangeAspect="1"/>
            </wp:cNvGraphicFramePr>
            <a:graphic>
              <a:graphicData uri="http://schemas.openxmlformats.org/drawingml/2006/picture">
                <pic:pic>
                  <pic:nvPicPr>
                    <pic:cNvPr id="0" name="mimir_threat_dfd.png"/>
                    <pic:cNvPicPr/>
                  </pic:nvPicPr>
                  <pic:blipFill>
                    <a:blip r:embed="rId18"/>
                    <a:stretch>
                      <a:fillRect/>
                    </a:stretch>
                  </pic:blipFill>
                  <pic:spPr>
                    <a:xfrm>
                      <a:off x="0" y="0"/>
                      <a:ext cx="3364992" cy="10777728"/>
                    </a:xfrm>
                    <a:prstGeom prst="rect"/>
                  </pic:spPr>
                </pic:pic>
              </a:graphicData>
            </a:graphic>
          </wp:inline>
        </w:drawing>
      </w:r>
    </w:p>
    <w:p>
      <w:pPr>
        <w:jc w:val="center"/>
      </w:pPr>
      <w:r>
        <w:rPr>
          <w:i/>
          <w:color w:val="595959"/>
          <w:sz w:val="17"/>
        </w:rPr>
        <w:t>Figure 11.1 — Mimir STRIDE data-flow diagram.</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Consumer → Inference API</w:t>
            </w:r>
          </w:p>
        </w:tc>
        <w:tc>
          <w:tcPr>
            <w:tcW w:type="dxa" w:w="3264"/>
            <w:tcMar>
              <w:top w:w="60" w:type="dxa"/>
              <w:bottom w:w="60" w:type="dxa"/>
              <w:start w:w="90" w:type="dxa"/>
              <w:end w:w="90" w:type="dxa"/>
            </w:tcMar>
            <w:shd w:val="clear" w:fill="FFFFFF"/>
          </w:tcPr>
          <w:p>
            <w:r>
              <w:rPr>
                <w:b w:val="0"/>
                <w:sz w:val="17"/>
              </w:rPr>
              <w:t>S, T, D</w:t>
            </w:r>
          </w:p>
        </w:tc>
        <w:tc>
          <w:tcPr>
            <w:tcW w:type="dxa" w:w="3264"/>
            <w:tcMar>
              <w:top w:w="60" w:type="dxa"/>
              <w:bottom w:w="60" w:type="dxa"/>
              <w:start w:w="90" w:type="dxa"/>
              <w:end w:w="90" w:type="dxa"/>
            </w:tcMar>
            <w:shd w:val="clear" w:fill="FFFFFF"/>
          </w:tcPr>
          <w:p>
            <w:r>
              <w:rPr>
                <w:b w:val="0"/>
                <w:sz w:val="17"/>
              </w:rPr>
              <w:t>PQ-mTLS, workload identity, quotas `[NFR-SEC-1]`</w:t>
            </w:r>
          </w:p>
        </w:tc>
      </w:tr>
      <w:tr>
        <w:tc>
          <w:tcPr>
            <w:tcW w:type="dxa" w:w="3264"/>
            <w:tcMar>
              <w:top w:w="60" w:type="dxa"/>
              <w:bottom w:w="60" w:type="dxa"/>
              <w:start w:w="90" w:type="dxa"/>
              <w:end w:w="90" w:type="dxa"/>
            </w:tcMar>
            <w:shd w:val="clear" w:fill="EEF3F8"/>
          </w:tcPr>
          <w:p>
            <w:r>
              <w:rPr>
                <w:b w:val="0"/>
                <w:sz w:val="17"/>
              </w:rPr>
              <w:t>Prompt → Agent runtime</w:t>
            </w:r>
          </w:p>
        </w:tc>
        <w:tc>
          <w:tcPr>
            <w:tcW w:type="dxa" w:w="3264"/>
            <w:tcMar>
              <w:top w:w="60" w:type="dxa"/>
              <w:bottom w:w="60" w:type="dxa"/>
              <w:start w:w="90" w:type="dxa"/>
              <w:end w:w="90" w:type="dxa"/>
            </w:tcMar>
            <w:shd w:val="clear" w:fill="EEF3F8"/>
          </w:tcPr>
          <w:p>
            <w:r>
              <w:rPr>
                <w:b w:val="0"/>
                <w:sz w:val="17"/>
              </w:rPr>
              <w:t>T, E</w:t>
            </w:r>
          </w:p>
        </w:tc>
        <w:tc>
          <w:tcPr>
            <w:tcW w:type="dxa" w:w="3264"/>
            <w:tcMar>
              <w:top w:w="60" w:type="dxa"/>
              <w:bottom w:w="60" w:type="dxa"/>
              <w:start w:w="90" w:type="dxa"/>
              <w:end w:w="90" w:type="dxa"/>
            </w:tcMar>
            <w:shd w:val="clear" w:fill="EEF3F8"/>
          </w:tcPr>
          <w:p>
            <w:r>
              <w:rPr>
                <w:b w:val="0"/>
                <w:sz w:val="17"/>
              </w:rPr>
              <w:t>Guardrail/injection defence, tool-scoping `[FR-MI-7]`</w:t>
            </w:r>
          </w:p>
        </w:tc>
      </w:tr>
      <w:tr>
        <w:tc>
          <w:tcPr>
            <w:tcW w:type="dxa" w:w="3264"/>
            <w:tcMar>
              <w:top w:w="60" w:type="dxa"/>
              <w:bottom w:w="60" w:type="dxa"/>
              <w:start w:w="90" w:type="dxa"/>
              <w:end w:w="90" w:type="dxa"/>
            </w:tcMar>
            <w:shd w:val="clear" w:fill="FFFFFF"/>
          </w:tcPr>
          <w:p>
            <w:r>
              <w:rPr>
                <w:b w:val="0"/>
                <w:sz w:val="17"/>
              </w:rPr>
              <w:t>Agent → Fabric action</w:t>
            </w:r>
          </w:p>
        </w:tc>
        <w:tc>
          <w:tcPr>
            <w:tcW w:type="dxa" w:w="3264"/>
            <w:tcMar>
              <w:top w:w="60" w:type="dxa"/>
              <w:bottom w:w="60" w:type="dxa"/>
              <w:start w:w="90" w:type="dxa"/>
              <w:end w:w="90" w:type="dxa"/>
            </w:tcMar>
            <w:shd w:val="clear" w:fill="FFFFFF"/>
          </w:tcPr>
          <w:p>
            <w:r>
              <w:rPr>
                <w:b w:val="0"/>
                <w:sz w:val="17"/>
              </w:rPr>
              <w:t>R, E</w:t>
            </w:r>
          </w:p>
        </w:tc>
        <w:tc>
          <w:tcPr>
            <w:tcW w:type="dxa" w:w="3264"/>
            <w:tcMar>
              <w:top w:w="60" w:type="dxa"/>
              <w:bottom w:w="60" w:type="dxa"/>
              <w:start w:w="90" w:type="dxa"/>
              <w:end w:w="90" w:type="dxa"/>
            </w:tcMar>
            <w:shd w:val="clear" w:fill="FFFFFF"/>
          </w:tcPr>
          <w:p>
            <w:r>
              <w:rPr>
                <w:b w:val="0"/>
                <w:sz w:val="17"/>
              </w:rPr>
              <w:t>Policy point, human-gate, audit `[NFR-AI-1]`</w:t>
            </w:r>
          </w:p>
        </w:tc>
      </w:tr>
      <w:tr>
        <w:tc>
          <w:tcPr>
            <w:tcW w:type="dxa" w:w="3264"/>
            <w:tcMar>
              <w:top w:w="60" w:type="dxa"/>
              <w:bottom w:w="60" w:type="dxa"/>
              <w:start w:w="90" w:type="dxa"/>
              <w:end w:w="90" w:type="dxa"/>
            </w:tcMar>
            <w:shd w:val="clear" w:fill="EEF3F8"/>
          </w:tcPr>
          <w:p>
            <w:r>
              <w:rPr>
                <w:b w:val="0"/>
                <w:sz w:val="17"/>
              </w:rPr>
              <w:t>Model store → Runtime</w:t>
            </w:r>
          </w:p>
        </w:tc>
        <w:tc>
          <w:tcPr>
            <w:tcW w:type="dxa" w:w="3264"/>
            <w:tcMar>
              <w:top w:w="60" w:type="dxa"/>
              <w:bottom w:w="60" w:type="dxa"/>
              <w:start w:w="90" w:type="dxa"/>
              <w:end w:w="90" w:type="dxa"/>
            </w:tcMar>
            <w:shd w:val="clear" w:fill="EEF3F8"/>
          </w:tcPr>
          <w:p>
            <w:r>
              <w:rPr>
                <w:b w:val="0"/>
                <w:sz w:val="17"/>
              </w:rPr>
              <w:t>T</w:t>
            </w:r>
          </w:p>
        </w:tc>
        <w:tc>
          <w:tcPr>
            <w:tcW w:type="dxa" w:w="3264"/>
            <w:tcMar>
              <w:top w:w="60" w:type="dxa"/>
              <w:bottom w:w="60" w:type="dxa"/>
              <w:start w:w="90" w:type="dxa"/>
              <w:end w:w="90" w:type="dxa"/>
            </w:tcMar>
            <w:shd w:val="clear" w:fill="EEF3F8"/>
          </w:tcPr>
          <w:p>
            <w:r>
              <w:rPr>
                <w:b w:val="0"/>
                <w:sz w:val="17"/>
              </w:rPr>
              <w:t>PQ signature verification on load `[NFR-PQ-3]`</w:t>
            </w:r>
          </w:p>
        </w:tc>
      </w:tr>
    </w:tbl>
    <w:p/>
    <w:p>
      <w:pPr>
        <w:pStyle w:val="Heading2"/>
      </w:pPr>
      <w:r>
        <w:t>11.2 AI-specific security</w:t>
      </w:r>
    </w:p>
    <w:p>
      <w:pPr>
        <w:pStyle w:val="ListBullet"/>
      </w:pPr>
      <w:r>
        <w:rPr>
          <w:sz w:val="21"/>
        </w:rPr>
        <w:t xml:space="preserve">Prompt-injection and jailbreak filtering at input and tool-call boundaries. </w:t>
      </w:r>
      <w:r>
        <w:rPr>
          <w:rFonts w:ascii="Consolas" w:hAnsi="Consolas"/>
          <w:color w:val="0B4884"/>
          <w:sz w:val="18"/>
        </w:rPr>
        <w:t>[FR-MI-7]</w:t>
      </w:r>
      <w:r>
        <w:rPr>
          <w:sz w:val="21"/>
        </w:rPr>
      </w:r>
    </w:p>
    <w:p>
      <w:pPr>
        <w:pStyle w:val="ListBullet"/>
      </w:pPr>
      <w:r>
        <w:rPr>
          <w:sz w:val="21"/>
        </w:rPr>
        <w:t xml:space="preserve">Tool-scoping: agents receive least-privilege, purpose-bound tool grants. </w:t>
      </w:r>
      <w:r>
        <w:rPr>
          <w:rFonts w:ascii="Consolas" w:hAnsi="Consolas"/>
          <w:color w:val="0B4884"/>
          <w:sz w:val="18"/>
        </w:rPr>
        <w:t>[NFR-SEC-2]</w:t>
      </w:r>
      <w:r>
        <w:rPr>
          <w:sz w:val="21"/>
        </w:rPr>
      </w:r>
    </w:p>
    <w:p>
      <w:pPr>
        <w:pStyle w:val="ListBullet"/>
      </w:pPr>
      <w:r>
        <w:rPr>
          <w:sz w:val="21"/>
        </w:rPr>
        <w:t xml:space="preserve">Exfiltration defence: output scanning + marking-aware redaction. </w:t>
      </w:r>
      <w:r>
        <w:rPr>
          <w:rFonts w:ascii="Consolas" w:hAnsi="Consolas"/>
          <w:color w:val="0B4884"/>
          <w:sz w:val="18"/>
        </w:rPr>
        <w:t>[FR-MI-7]</w:t>
      </w:r>
      <w:r>
        <w:rPr>
          <w:sz w:val="21"/>
        </w:rPr>
      </w:r>
    </w:p>
    <w:p>
      <w:pPr>
        <w:pStyle w:val="ListBullet"/>
      </w:pPr>
      <w:r>
        <w:rPr>
          <w:sz w:val="21"/>
        </w:rPr>
        <w:t xml:space="preserve">Model-weight integrity: PQ-signed, verified on load. </w:t>
      </w:r>
      <w:r>
        <w:rPr>
          <w:rFonts w:ascii="Consolas" w:hAnsi="Consolas"/>
          <w:color w:val="0B4884"/>
          <w:sz w:val="18"/>
        </w:rPr>
        <w:t>[NFR-PQ-3]</w:t>
      </w:r>
      <w:r>
        <w:rPr>
          <w:sz w:val="21"/>
        </w:rPr>
      </w:r>
    </w:p>
    <w:p>
      <w:pPr>
        <w:pStyle w:val="Heading2"/>
      </w:pPr>
      <w:r>
        <w:t>11.3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Novel jailbreaks evade static guards</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Continuous red-team Evals feeding self-defending loop. `[DD-5]`</w:t>
            </w:r>
          </w:p>
        </w:tc>
      </w:tr>
      <w:tr>
        <w:tc>
          <w:tcPr>
            <w:tcW w:type="dxa" w:w="3264"/>
            <w:tcMar>
              <w:top w:w="60" w:type="dxa"/>
              <w:bottom w:w="60" w:type="dxa"/>
              <w:start w:w="90" w:type="dxa"/>
              <w:end w:w="90" w:type="dxa"/>
            </w:tcMar>
            <w:shd w:val="clear" w:fill="EEF3F8"/>
          </w:tcPr>
          <w:p>
            <w:r>
              <w:rPr>
                <w:b w:val="0"/>
                <w:sz w:val="17"/>
              </w:rPr>
              <w:t>Autonomous action blast radius</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Default human-gate on state mutation; narrow pre-authorised scopes only. `[NFR-AI-1]`</w:t>
            </w:r>
          </w:p>
        </w:tc>
      </w:tr>
    </w:tbl>
    <w:p/>
    <w:p>
      <w:pPr>
        <w:pStyle w:val="Heading1"/>
      </w:pPr>
      <w:r>
        <w:t>12. Observability</w:t>
      </w:r>
    </w:p>
    <w:p>
      <w:pPr>
        <w:pStyle w:val="ListBullet"/>
      </w:pPr>
      <w:r>
        <w:rPr>
          <w:sz w:val="21"/>
        </w:rPr>
        <w:t xml:space="preserve">Per-agent traces (plan/act/observe). </w:t>
      </w:r>
      <w:r>
        <w:rPr>
          <w:rFonts w:ascii="Consolas" w:hAnsi="Consolas"/>
          <w:color w:val="0B4884"/>
          <w:sz w:val="18"/>
        </w:rPr>
        <w:t>[FR-MI-3]</w:t>
      </w:r>
      <w:r>
        <w:rPr>
          <w:sz w:val="21"/>
        </w:rPr>
      </w:r>
    </w:p>
    <w:p>
      <w:pPr>
        <w:pStyle w:val="ListBullet"/>
      </w:pPr>
      <w:r>
        <w:rPr>
          <w:sz w:val="21"/>
        </w:rPr>
        <w:t xml:space="preserve">Inference latency/throughput SLOs. </w:t>
      </w:r>
      <w:r>
        <w:rPr>
          <w:rFonts w:ascii="Consolas" w:hAnsi="Consolas"/>
          <w:color w:val="0B4884"/>
          <w:sz w:val="18"/>
        </w:rPr>
        <w:t>[NFR-PERF-1]</w:t>
      </w:r>
      <w:r>
        <w:rPr>
          <w:sz w:val="21"/>
        </w:rPr>
      </w:r>
    </w:p>
    <w:p>
      <w:pPr>
        <w:pStyle w:val="ListBullet"/>
      </w:pPr>
      <w:r>
        <w:rPr>
          <w:sz w:val="21"/>
        </w:rPr>
        <w:t xml:space="preserve">Guardrail + eval event metrics. </w:t>
      </w:r>
      <w:r>
        <w:rPr>
          <w:rFonts w:ascii="Consolas" w:hAnsi="Consolas"/>
          <w:color w:val="0B4884"/>
          <w:sz w:val="18"/>
        </w:rPr>
        <w:t>[FR-MI-7]</w:t>
      </w:r>
      <w:r>
        <w:rPr>
          <w:sz w:val="21"/>
        </w:rPr>
      </w:r>
    </w:p>
    <w:p>
      <w:pPr>
        <w:pStyle w:val="Heading1"/>
      </w:pPr>
      <w:r>
        <w:t>13. Operational Concerns</w:t>
      </w:r>
    </w:p>
    <w:p>
      <w:pPr>
        <w:pStyle w:val="ListBullet"/>
      </w:pPr>
      <w:r>
        <w:rPr>
          <w:sz w:val="21"/>
        </w:rPr>
        <w:t xml:space="preserve">Model artefact backup + signature registry. </w:t>
      </w:r>
      <w:r>
        <w:rPr>
          <w:rFonts w:ascii="Consolas" w:hAnsi="Consolas"/>
          <w:color w:val="0B4884"/>
          <w:sz w:val="18"/>
        </w:rPr>
        <w:t>[NFR-PQ-3]</w:t>
      </w:r>
      <w:r>
        <w:rPr>
          <w:sz w:val="21"/>
        </w:rPr>
      </w:r>
    </w:p>
    <w:p>
      <w:pPr>
        <w:pStyle w:val="ListBullet"/>
      </w:pPr>
      <w:r>
        <w:rPr>
          <w:sz w:val="21"/>
        </w:rPr>
        <w:t xml:space="preserve">Graceful degradation: consumers fall back to non-AI mode if inference is down. </w:t>
      </w:r>
      <w:r>
        <w:rPr>
          <w:rFonts w:ascii="Consolas" w:hAnsi="Consolas"/>
          <w:color w:val="0B4884"/>
          <w:sz w:val="18"/>
        </w:rPr>
        <w:t>[DD-6]</w:t>
      </w:r>
      <w:r>
        <w:rPr>
          <w:sz w:val="21"/>
        </w:rPr>
      </w:r>
    </w:p>
    <w:p>
      <w:pPr>
        <w:pStyle w:val="ListBullet"/>
      </w:pPr>
      <w:r>
        <w:rPr>
          <w:sz w:val="21"/>
        </w:rPr>
        <w:t xml:space="preserve">GPU autoscaling for load. </w:t>
      </w:r>
      <w:r>
        <w:rPr>
          <w:rFonts w:ascii="Consolas" w:hAnsi="Consolas"/>
          <w:color w:val="0B4884"/>
          <w:sz w:val="18"/>
        </w:rPr>
        <w:t>[NFR-PERF-1]</w:t>
      </w:r>
      <w:r>
        <w:rPr>
          <w:sz w:val="21"/>
        </w:rPr>
      </w:r>
    </w:p>
    <w:p>
      <w:pPr>
        <w:pStyle w:val="Heading1"/>
      </w:pPr>
      <w:r>
        <w:t>14. Quality &amp; Testing</w:t>
      </w:r>
    </w:p>
    <w:p>
      <w:pPr>
        <w:pStyle w:val="ListBullet"/>
      </w:pPr>
      <w:r>
        <w:rPr>
          <w:sz w:val="21"/>
        </w:rPr>
        <w:t xml:space="preserve">Evals suite as executable acceptance for agent behaviour. </w:t>
      </w:r>
      <w:r>
        <w:rPr>
          <w:rFonts w:ascii="Consolas" w:hAnsi="Consolas"/>
          <w:color w:val="0B4884"/>
          <w:sz w:val="18"/>
        </w:rPr>
        <w:t>[NFR-AI-1]</w:t>
      </w:r>
      <w:r>
        <w:rPr>
          <w:sz w:val="21"/>
        </w:rPr>
      </w:r>
    </w:p>
    <w:p>
      <w:pPr>
        <w:pStyle w:val="ListBullet"/>
      </w:pPr>
      <w:r>
        <w:rPr>
          <w:sz w:val="21"/>
        </w:rPr>
        <w:t xml:space="preserve">Red-team corpus for self-defending. </w:t>
      </w:r>
      <w:r>
        <w:rPr>
          <w:rFonts w:ascii="Consolas" w:hAnsi="Consolas"/>
          <w:color w:val="0B4884"/>
          <w:sz w:val="18"/>
        </w:rPr>
        <w:t>[FR-MI-7]</w:t>
      </w:r>
      <w:r>
        <w:rPr>
          <w:sz w:val="21"/>
        </w:rPr>
      </w:r>
    </w:p>
    <w:p>
      <w:pPr>
        <w:pStyle w:val="ListBullet"/>
      </w:pPr>
      <w:r>
        <w:rPr>
          <w:sz w:val="21"/>
        </w:rPr>
        <w:t xml:space="preserve">Regression on OAG citation accuracy. </w:t>
      </w:r>
      <w:r>
        <w:rPr>
          <w:rFonts w:ascii="Consolas" w:hAnsi="Consolas"/>
          <w:color w:val="0B4884"/>
          <w:sz w:val="18"/>
        </w:rPr>
        <w:t>[FR-MI-2]</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Autonomy overreach</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Bounded autonomy: Evals + human-gate + reversibility. `[NFR-AI-1]`</w:t>
            </w:r>
          </w:p>
        </w:tc>
      </w:tr>
      <w:tr>
        <w:tc>
          <w:tcPr>
            <w:tcW w:type="dxa" w:w="3264"/>
            <w:tcMar>
              <w:top w:w="60" w:type="dxa"/>
              <w:bottom w:w="60" w:type="dxa"/>
              <w:start w:w="90" w:type="dxa"/>
              <w:end w:w="90" w:type="dxa"/>
            </w:tcMar>
            <w:shd w:val="clear" w:fill="EEF3F8"/>
          </w:tcPr>
          <w:p>
            <w:r>
              <w:rPr>
                <w:b w:val="0"/>
                <w:sz w:val="17"/>
              </w:rPr>
              <w:t>Inference capacity</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Batching, quantisation, horizontal GPU scale. `[NFR-PERF-1]`</w:t>
            </w:r>
          </w:p>
        </w:tc>
      </w:tr>
      <w:tr>
        <w:tc>
          <w:tcPr>
            <w:tcW w:type="dxa" w:w="3264"/>
            <w:tcMar>
              <w:top w:w="60" w:type="dxa"/>
              <w:bottom w:w="60" w:type="dxa"/>
              <w:start w:w="90" w:type="dxa"/>
              <w:end w:w="90" w:type="dxa"/>
            </w:tcMar>
            <w:shd w:val="clear" w:fill="FFFFFF"/>
          </w:tcPr>
          <w:p>
            <w:r>
              <w:rPr>
                <w:b w:val="0"/>
                <w:sz w:val="17"/>
              </w:rPr>
              <w:t>Feedback poisoning of self-learning</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Governed, provenance-checked feedback only. `[FR-MI-5]`</w:t>
            </w:r>
          </w:p>
        </w:tc>
      </w:tr>
    </w:tbl>
    <w:p/>
    <w:p>
      <w:pPr>
        <w:pStyle w:val="Heading1"/>
      </w:pPr>
      <w:r>
        <w:t>16. Roadmap</w:t>
      </w:r>
    </w:p>
    <w:p>
      <w:pPr>
        <w:pStyle w:val="ListNumber"/>
      </w:pPr>
      <w:r>
        <w:rPr>
          <w:sz w:val="21"/>
        </w:rPr>
        <w:t>Local GLM 5.2 serving + inference API.</w:t>
      </w:r>
    </w:p>
    <w:p>
      <w:pPr>
        <w:pStyle w:val="ListNumber"/>
      </w:pPr>
      <w:r>
        <w:rPr>
          <w:sz w:val="21"/>
        </w:rPr>
        <w:t>OAG grounding + citations.</w:t>
      </w:r>
    </w:p>
    <w:p>
      <w:pPr>
        <w:pStyle w:val="ListNumber"/>
      </w:pPr>
      <w:r>
        <w:rPr>
          <w:sz w:val="21"/>
        </w:rPr>
        <w:t>Agent runtime + Evals.</w:t>
      </w:r>
    </w:p>
    <w:p>
      <w:pPr>
        <w:pStyle w:val="ListNumber"/>
      </w:pPr>
      <w:r>
        <w:rPr>
          <w:sz w:val="21"/>
        </w:rPr>
        <w:t>Self-* control loops (learn/heal/defend).</w:t>
      </w:r>
    </w:p>
    <w:p>
      <w:pPr>
        <w:pStyle w:val="Heading1"/>
      </w:pPr>
      <w:r>
        <w:t>17. Acceptance Criteria</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AC-MI-1</w:t>
            </w:r>
          </w:p>
        </w:tc>
        <w:tc>
          <w:tcPr>
            <w:tcW w:type="dxa" w:w="3264"/>
            <w:tcMar>
              <w:top w:w="60" w:type="dxa"/>
              <w:bottom w:w="60" w:type="dxa"/>
              <w:start w:w="90" w:type="dxa"/>
              <w:end w:w="90" w:type="dxa"/>
            </w:tcMar>
            <w:shd w:val="clear" w:fill="FFFFFF"/>
          </w:tcPr>
          <w:p>
            <w:r>
              <w:rPr>
                <w:b w:val="0"/>
                <w:sz w:val="17"/>
              </w:rPr>
              <w:t>Given no outbound connectivity, when inference is requested, then GLM 5.2 responds locally (no hosted-model dependency).</w:t>
            </w:r>
          </w:p>
        </w:tc>
        <w:tc>
          <w:tcPr>
            <w:tcW w:type="dxa" w:w="3264"/>
            <w:tcMar>
              <w:top w:w="60" w:type="dxa"/>
              <w:bottom w:w="60" w:type="dxa"/>
              <w:start w:w="90" w:type="dxa"/>
              <w:end w:w="90" w:type="dxa"/>
            </w:tcMar>
            <w:shd w:val="clear" w:fill="FFFFFF"/>
          </w:tcPr>
          <w:p>
            <w:r>
              <w:rPr>
                <w:b w:val="0"/>
                <w:sz w:val="17"/>
              </w:rPr>
              <w:t>`[DD-4]` `[NFR-PRV-1]`</w:t>
            </w:r>
          </w:p>
        </w:tc>
      </w:tr>
      <w:tr>
        <w:tc>
          <w:tcPr>
            <w:tcW w:type="dxa" w:w="3264"/>
            <w:tcMar>
              <w:top w:w="60" w:type="dxa"/>
              <w:bottom w:w="60" w:type="dxa"/>
              <w:start w:w="90" w:type="dxa"/>
              <w:end w:w="90" w:type="dxa"/>
            </w:tcMar>
            <w:shd w:val="clear" w:fill="EEF3F8"/>
          </w:tcPr>
          <w:p>
            <w:r>
              <w:rPr>
                <w:b w:val="0"/>
                <w:sz w:val="17"/>
              </w:rPr>
              <w:t>AC-MI-2</w:t>
            </w:r>
          </w:p>
        </w:tc>
        <w:tc>
          <w:tcPr>
            <w:tcW w:type="dxa" w:w="3264"/>
            <w:tcMar>
              <w:top w:w="60" w:type="dxa"/>
              <w:bottom w:w="60" w:type="dxa"/>
              <w:start w:w="90" w:type="dxa"/>
              <w:end w:w="90" w:type="dxa"/>
            </w:tcMar>
            <w:shd w:val="clear" w:fill="EEF3F8"/>
          </w:tcPr>
          <w:p>
            <w:r>
              <w:rPr>
                <w:b w:val="0"/>
                <w:sz w:val="17"/>
              </w:rPr>
              <w:t>Given an OAG query, when answered, then the response cites the object-fabric evidence it used.</w:t>
            </w:r>
          </w:p>
        </w:tc>
        <w:tc>
          <w:tcPr>
            <w:tcW w:type="dxa" w:w="3264"/>
            <w:tcMar>
              <w:top w:w="60" w:type="dxa"/>
              <w:bottom w:w="60" w:type="dxa"/>
              <w:start w:w="90" w:type="dxa"/>
              <w:end w:w="90" w:type="dxa"/>
            </w:tcMar>
            <w:shd w:val="clear" w:fill="EEF3F8"/>
          </w:tcPr>
          <w:p>
            <w:r>
              <w:rPr>
                <w:b w:val="0"/>
                <w:sz w:val="17"/>
              </w:rPr>
              <w:t>`[FR-MI-2]`</w:t>
            </w:r>
          </w:p>
        </w:tc>
      </w:tr>
      <w:tr>
        <w:tc>
          <w:tcPr>
            <w:tcW w:type="dxa" w:w="3264"/>
            <w:tcMar>
              <w:top w:w="60" w:type="dxa"/>
              <w:bottom w:w="60" w:type="dxa"/>
              <w:start w:w="90" w:type="dxa"/>
              <w:end w:w="90" w:type="dxa"/>
            </w:tcMar>
            <w:shd w:val="clear" w:fill="FFFFFF"/>
          </w:tcPr>
          <w:p>
            <w:r>
              <w:rPr>
                <w:b w:val="0"/>
                <w:sz w:val="17"/>
              </w:rPr>
              <w:t>AC-MI-3</w:t>
            </w:r>
          </w:p>
        </w:tc>
        <w:tc>
          <w:tcPr>
            <w:tcW w:type="dxa" w:w="3264"/>
            <w:tcMar>
              <w:top w:w="60" w:type="dxa"/>
              <w:bottom w:w="60" w:type="dxa"/>
              <w:start w:w="90" w:type="dxa"/>
              <w:end w:w="90" w:type="dxa"/>
            </w:tcMar>
            <w:shd w:val="clear" w:fill="FFFFFF"/>
          </w:tcPr>
          <w:p>
            <w:r>
              <w:rPr>
                <w:b w:val="0"/>
                <w:sz w:val="17"/>
              </w:rPr>
              <w:t>Given an agent action that mutates state, when executed, then it is Evals-checked and human-gated unless pre-authorised for an evaluated scope.</w:t>
            </w:r>
          </w:p>
        </w:tc>
        <w:tc>
          <w:tcPr>
            <w:tcW w:type="dxa" w:w="3264"/>
            <w:tcMar>
              <w:top w:w="60" w:type="dxa"/>
              <w:bottom w:w="60" w:type="dxa"/>
              <w:start w:w="90" w:type="dxa"/>
              <w:end w:w="90" w:type="dxa"/>
            </w:tcMar>
            <w:shd w:val="clear" w:fill="FFFFFF"/>
          </w:tcPr>
          <w:p>
            <w:r>
              <w:rPr>
                <w:b w:val="0"/>
                <w:sz w:val="17"/>
              </w:rPr>
              <w:t>`[NFR-AI-1]`</w:t>
            </w:r>
          </w:p>
        </w:tc>
      </w:tr>
      <w:tr>
        <w:tc>
          <w:tcPr>
            <w:tcW w:type="dxa" w:w="3264"/>
            <w:tcMar>
              <w:top w:w="60" w:type="dxa"/>
              <w:bottom w:w="60" w:type="dxa"/>
              <w:start w:w="90" w:type="dxa"/>
              <w:end w:w="90" w:type="dxa"/>
            </w:tcMar>
            <w:shd w:val="clear" w:fill="EEF3F8"/>
          </w:tcPr>
          <w:p>
            <w:r>
              <w:rPr>
                <w:b w:val="0"/>
                <w:sz w:val="17"/>
              </w:rPr>
              <w:t>AC-MI-4</w:t>
            </w:r>
          </w:p>
        </w:tc>
        <w:tc>
          <w:tcPr>
            <w:tcW w:type="dxa" w:w="3264"/>
            <w:tcMar>
              <w:top w:w="60" w:type="dxa"/>
              <w:bottom w:w="60" w:type="dxa"/>
              <w:start w:w="90" w:type="dxa"/>
              <w:end w:w="90" w:type="dxa"/>
            </w:tcMar>
            <w:shd w:val="clear" w:fill="EEF3F8"/>
          </w:tcPr>
          <w:p>
            <w:r>
              <w:rPr>
                <w:b w:val="0"/>
                <w:sz w:val="17"/>
              </w:rPr>
              <w:t>Given governed feedback, when applied, then retrieval/policy updates occur and are logged with provenance (self-learning).</w:t>
            </w:r>
          </w:p>
        </w:tc>
        <w:tc>
          <w:tcPr>
            <w:tcW w:type="dxa" w:w="3264"/>
            <w:tcMar>
              <w:top w:w="60" w:type="dxa"/>
              <w:bottom w:w="60" w:type="dxa"/>
              <w:start w:w="90" w:type="dxa"/>
              <w:end w:w="90" w:type="dxa"/>
            </w:tcMar>
            <w:shd w:val="clear" w:fill="EEF3F8"/>
          </w:tcPr>
          <w:p>
            <w:r>
              <w:rPr>
                <w:b w:val="0"/>
                <w:sz w:val="17"/>
              </w:rPr>
              <w:t>`[FR-MI-5]`</w:t>
            </w:r>
          </w:p>
        </w:tc>
      </w:tr>
      <w:tr>
        <w:tc>
          <w:tcPr>
            <w:tcW w:type="dxa" w:w="3264"/>
            <w:tcMar>
              <w:top w:w="60" w:type="dxa"/>
              <w:bottom w:w="60" w:type="dxa"/>
              <w:start w:w="90" w:type="dxa"/>
              <w:end w:w="90" w:type="dxa"/>
            </w:tcMar>
            <w:shd w:val="clear" w:fill="FFFFFF"/>
          </w:tcPr>
          <w:p>
            <w:r>
              <w:rPr>
                <w:b w:val="0"/>
                <w:sz w:val="17"/>
              </w:rPr>
              <w:t>AC-MI-5</w:t>
            </w:r>
          </w:p>
        </w:tc>
        <w:tc>
          <w:tcPr>
            <w:tcW w:type="dxa" w:w="3264"/>
            <w:tcMar>
              <w:top w:w="60" w:type="dxa"/>
              <w:bottom w:w="60" w:type="dxa"/>
              <w:start w:w="90" w:type="dxa"/>
              <w:end w:w="90" w:type="dxa"/>
            </w:tcMar>
            <w:shd w:val="clear" w:fill="FFFFFF"/>
          </w:tcPr>
          <w:p>
            <w:r>
              <w:rPr>
                <w:b w:val="0"/>
                <w:sz w:val="17"/>
              </w:rPr>
              <w:t>Given degraded inference or a failed tool, when detected, then the runtime reroutes/retries/rolls back automatically (self-healing).</w:t>
            </w:r>
          </w:p>
        </w:tc>
        <w:tc>
          <w:tcPr>
            <w:tcW w:type="dxa" w:w="3264"/>
            <w:tcMar>
              <w:top w:w="60" w:type="dxa"/>
              <w:bottom w:w="60" w:type="dxa"/>
              <w:start w:w="90" w:type="dxa"/>
              <w:end w:w="90" w:type="dxa"/>
            </w:tcMar>
            <w:shd w:val="clear" w:fill="FFFFFF"/>
          </w:tcPr>
          <w:p>
            <w:r>
              <w:rPr>
                <w:b w:val="0"/>
                <w:sz w:val="17"/>
              </w:rPr>
              <w:t>`[FR-MI-6]`</w:t>
            </w:r>
          </w:p>
        </w:tc>
      </w:tr>
      <w:tr>
        <w:tc>
          <w:tcPr>
            <w:tcW w:type="dxa" w:w="3264"/>
            <w:tcMar>
              <w:top w:w="60" w:type="dxa"/>
              <w:bottom w:w="60" w:type="dxa"/>
              <w:start w:w="90" w:type="dxa"/>
              <w:end w:w="90" w:type="dxa"/>
            </w:tcMar>
            <w:shd w:val="clear" w:fill="EEF3F8"/>
          </w:tcPr>
          <w:p>
            <w:r>
              <w:rPr>
                <w:b w:val="0"/>
                <w:sz w:val="17"/>
              </w:rPr>
              <w:t>AC-MI-6</w:t>
            </w:r>
          </w:p>
        </w:tc>
        <w:tc>
          <w:tcPr>
            <w:tcW w:type="dxa" w:w="3264"/>
            <w:tcMar>
              <w:top w:w="60" w:type="dxa"/>
              <w:bottom w:w="60" w:type="dxa"/>
              <w:start w:w="90" w:type="dxa"/>
              <w:end w:w="90" w:type="dxa"/>
            </w:tcMar>
            <w:shd w:val="clear" w:fill="EEF3F8"/>
          </w:tcPr>
          <w:p>
            <w:r>
              <w:rPr>
                <w:b w:val="0"/>
                <w:sz w:val="17"/>
              </w:rPr>
              <w:t>Given a prompt-injection attempt, when received, then it is detected and blocked before any tool executes (self-defending).</w:t>
            </w:r>
          </w:p>
        </w:tc>
        <w:tc>
          <w:tcPr>
            <w:tcW w:type="dxa" w:w="3264"/>
            <w:tcMar>
              <w:top w:w="60" w:type="dxa"/>
              <w:bottom w:w="60" w:type="dxa"/>
              <w:start w:w="90" w:type="dxa"/>
              <w:end w:w="90" w:type="dxa"/>
            </w:tcMar>
            <w:shd w:val="clear" w:fill="EEF3F8"/>
          </w:tcPr>
          <w:p>
            <w:r>
              <w:rPr>
                <w:b w:val="0"/>
                <w:sz w:val="17"/>
              </w:rPr>
              <w:t>`[FR-MI-7]`</w:t>
            </w:r>
          </w:p>
        </w:tc>
      </w:tr>
      <w:tr>
        <w:tc>
          <w:tcPr>
            <w:tcW w:type="dxa" w:w="3264"/>
            <w:tcMar>
              <w:top w:w="60" w:type="dxa"/>
              <w:bottom w:w="60" w:type="dxa"/>
              <w:start w:w="90" w:type="dxa"/>
              <w:end w:w="90" w:type="dxa"/>
            </w:tcMar>
            <w:shd w:val="clear" w:fill="FFFFFF"/>
          </w:tcPr>
          <w:p>
            <w:r>
              <w:rPr>
                <w:b w:val="0"/>
                <w:sz w:val="17"/>
              </w:rPr>
              <w:t>AC-MI-7</w:t>
            </w:r>
          </w:p>
        </w:tc>
        <w:tc>
          <w:tcPr>
            <w:tcW w:type="dxa" w:w="3264"/>
            <w:tcMar>
              <w:top w:w="60" w:type="dxa"/>
              <w:bottom w:w="60" w:type="dxa"/>
              <w:start w:w="90" w:type="dxa"/>
              <w:end w:w="90" w:type="dxa"/>
            </w:tcMar>
            <w:shd w:val="clear" w:fill="FFFFFF"/>
          </w:tcPr>
          <w:p>
            <w:r>
              <w:rPr>
                <w:b w:val="0"/>
                <w:sz w:val="17"/>
              </w:rPr>
              <w:t>Given model weights of any supported family (GLM/Nemotron/Gemma), when loaded, then the Akuma ML-DSA signature, licence policy, and hardware eligibility are verified and loading fails closed on any mismatch. (Superseded/expanded by AC-MS-2 in the Model-Supply Resolution.)</w:t>
            </w:r>
          </w:p>
        </w:tc>
        <w:tc>
          <w:tcPr>
            <w:tcW w:type="dxa" w:w="3264"/>
            <w:tcMar>
              <w:top w:w="60" w:type="dxa"/>
              <w:bottom w:w="60" w:type="dxa"/>
              <w:start w:w="90" w:type="dxa"/>
              <w:end w:w="90" w:type="dxa"/>
            </w:tcMar>
            <w:shd w:val="clear" w:fill="FFFFFF"/>
          </w:tcPr>
          <w:p>
            <w:r>
              <w:rPr>
                <w:b w:val="0"/>
                <w:sz w:val="17"/>
              </w:rPr>
              <w:t>`[NFR-PQ-3]`</w:t>
            </w:r>
          </w:p>
        </w:tc>
      </w:tr>
      <w:tr>
        <w:tc>
          <w:tcPr>
            <w:tcW w:type="dxa" w:w="3264"/>
            <w:tcMar>
              <w:top w:w="60" w:type="dxa"/>
              <w:bottom w:w="60" w:type="dxa"/>
              <w:start w:w="90" w:type="dxa"/>
              <w:end w:w="90" w:type="dxa"/>
            </w:tcMar>
            <w:shd w:val="clear" w:fill="EEF3F8"/>
          </w:tcPr>
          <w:p>
            <w:r>
              <w:rPr>
                <w:b w:val="0"/>
                <w:sz w:val="17"/>
              </w:rPr>
              <w:t>AC-MI-8</w:t>
            </w:r>
          </w:p>
        </w:tc>
        <w:tc>
          <w:tcPr>
            <w:tcW w:type="dxa" w:w="3264"/>
            <w:tcMar>
              <w:top w:w="60" w:type="dxa"/>
              <w:bottom w:w="60" w:type="dxa"/>
              <w:start w:w="90" w:type="dxa"/>
              <w:end w:w="90" w:type="dxa"/>
            </w:tcMar>
            <w:shd w:val="clear" w:fill="EEF3F8"/>
          </w:tcPr>
          <w:p>
            <w:r>
              <w:rPr>
                <w:b w:val="0"/>
                <w:sz w:val="17"/>
              </w:rPr>
              <w:t>Given a consuming product (Forge/Bifrost/Heimdall), when it calls inference, then the call is over internal PQ-mTLS and audited.</w:t>
            </w:r>
          </w:p>
        </w:tc>
        <w:tc>
          <w:tcPr>
            <w:tcW w:type="dxa" w:w="3264"/>
            <w:tcMar>
              <w:top w:w="60" w:type="dxa"/>
              <w:bottom w:w="60" w:type="dxa"/>
              <w:start w:w="90" w:type="dxa"/>
              <w:end w:w="90" w:type="dxa"/>
            </w:tcMar>
            <w:shd w:val="clear" w:fill="EEF3F8"/>
          </w:tcPr>
          <w:p>
            <w:r>
              <w:rPr>
                <w:b w:val="0"/>
                <w:sz w:val="17"/>
              </w:rPr>
              <w:t>`[FR-MI-8]` `[NFR-SEC-1]`</w:t>
            </w:r>
          </w:p>
        </w:tc>
      </w:tr>
    </w:tbl>
    <w:p/>
    <w:p>
      <w:pPr>
        <w:pStyle w:val="Heading1"/>
      </w:pPr>
      <w:r>
        <w:t>Appendix A —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Context</w:t>
            </w:r>
          </w:p>
        </w:tc>
        <w:tc>
          <w:tcPr>
            <w:tcW w:type="dxa" w:w="3264"/>
            <w:tcMar>
              <w:top w:w="60" w:type="dxa"/>
              <w:bottom w:w="60" w:type="dxa"/>
              <w:start w:w="90" w:type="dxa"/>
              <w:end w:w="90" w:type="dxa"/>
            </w:tcMar>
            <w:shd w:val="clear" w:fill="FFFFFF"/>
          </w:tcPr>
          <w:p>
            <w:r>
              <w:rPr>
                <w:b w:val="0"/>
                <w:sz w:val="17"/>
              </w:rPr>
              <w:t>mimir_c4_context.mmd</w:t>
            </w:r>
          </w:p>
        </w:tc>
        <w:tc>
          <w:tcPr>
            <w:tcW w:type="dxa" w:w="3264"/>
            <w:tcMar>
              <w:top w:w="60" w:type="dxa"/>
              <w:bottom w:w="60" w:type="dxa"/>
              <w:start w:w="90" w:type="dxa"/>
              <w:end w:w="90" w:type="dxa"/>
            </w:tcMar>
            <w:shd w:val="clear" w:fill="FFFFFF"/>
          </w:tcPr>
          <w:p>
            <w:r>
              <w:rPr>
                <w:b w:val="0"/>
                <w:sz w:val="17"/>
              </w:rPr>
              <w:t>mimir_c4_context.drawio</w:t>
            </w:r>
          </w:p>
        </w:tc>
      </w:tr>
      <w:tr>
        <w:tc>
          <w:tcPr>
            <w:tcW w:type="dxa" w:w="3264"/>
            <w:tcMar>
              <w:top w:w="60" w:type="dxa"/>
              <w:bottom w:w="60" w:type="dxa"/>
              <w:start w:w="90" w:type="dxa"/>
              <w:end w:w="90" w:type="dxa"/>
            </w:tcMar>
            <w:shd w:val="clear" w:fill="EEF3F8"/>
          </w:tcPr>
          <w:p>
            <w:r>
              <w:rPr>
                <w:b w:val="0"/>
                <w:sz w:val="17"/>
              </w:rPr>
              <w:t>Containers</w:t>
            </w:r>
          </w:p>
        </w:tc>
        <w:tc>
          <w:tcPr>
            <w:tcW w:type="dxa" w:w="3264"/>
            <w:tcMar>
              <w:top w:w="60" w:type="dxa"/>
              <w:bottom w:w="60" w:type="dxa"/>
              <w:start w:w="90" w:type="dxa"/>
              <w:end w:w="90" w:type="dxa"/>
            </w:tcMar>
            <w:shd w:val="clear" w:fill="EEF3F8"/>
          </w:tcPr>
          <w:p>
            <w:r>
              <w:rPr>
                <w:b w:val="0"/>
                <w:sz w:val="17"/>
              </w:rPr>
              <w:t>mimir_c4_containers.mmd</w:t>
            </w:r>
          </w:p>
        </w:tc>
        <w:tc>
          <w:tcPr>
            <w:tcW w:type="dxa" w:w="3264"/>
            <w:tcMar>
              <w:top w:w="60" w:type="dxa"/>
              <w:bottom w:w="60" w:type="dxa"/>
              <w:start w:w="90" w:type="dxa"/>
              <w:end w:w="90" w:type="dxa"/>
            </w:tcMar>
            <w:shd w:val="clear" w:fill="EEF3F8"/>
          </w:tcPr>
          <w:p>
            <w:r>
              <w:rPr>
                <w:b w:val="0"/>
                <w:sz w:val="17"/>
              </w:rPr>
              <w:t>mimir_c4_containers.drawio</w:t>
            </w:r>
          </w:p>
        </w:tc>
      </w:tr>
      <w:tr>
        <w:tc>
          <w:tcPr>
            <w:tcW w:type="dxa" w:w="3264"/>
            <w:tcMar>
              <w:top w:w="60" w:type="dxa"/>
              <w:bottom w:w="60" w:type="dxa"/>
              <w:start w:w="90" w:type="dxa"/>
              <w:end w:w="90" w:type="dxa"/>
            </w:tcMar>
            <w:shd w:val="clear" w:fill="FFFFFF"/>
          </w:tcPr>
          <w:p>
            <w:r>
              <w:rPr>
                <w:b w:val="0"/>
                <w:sz w:val="17"/>
              </w:rPr>
              <w:t>Components</w:t>
            </w:r>
          </w:p>
        </w:tc>
        <w:tc>
          <w:tcPr>
            <w:tcW w:type="dxa" w:w="3264"/>
            <w:tcMar>
              <w:top w:w="60" w:type="dxa"/>
              <w:bottom w:w="60" w:type="dxa"/>
              <w:start w:w="90" w:type="dxa"/>
              <w:end w:w="90" w:type="dxa"/>
            </w:tcMar>
            <w:shd w:val="clear" w:fill="FFFFFF"/>
          </w:tcPr>
          <w:p>
            <w:r>
              <w:rPr>
                <w:b w:val="0"/>
                <w:sz w:val="17"/>
              </w:rPr>
              <w:t>mimir_c4_component.mmd</w:t>
            </w:r>
          </w:p>
        </w:tc>
        <w:tc>
          <w:tcPr>
            <w:tcW w:type="dxa" w:w="3264"/>
            <w:tcMar>
              <w:top w:w="60" w:type="dxa"/>
              <w:bottom w:w="60" w:type="dxa"/>
              <w:start w:w="90" w:type="dxa"/>
              <w:end w:w="90" w:type="dxa"/>
            </w:tcMar>
            <w:shd w:val="clear" w:fill="FFFFFF"/>
          </w:tcPr>
          <w:p>
            <w:r>
              <w:rPr>
                <w:b w:val="0"/>
                <w:sz w:val="17"/>
              </w:rPr>
              <w:t>mimir_c4_component.drawio</w:t>
            </w:r>
          </w:p>
        </w:tc>
      </w:tr>
      <w:tr>
        <w:tc>
          <w:tcPr>
            <w:tcW w:type="dxa" w:w="3264"/>
            <w:tcMar>
              <w:top w:w="60" w:type="dxa"/>
              <w:bottom w:w="60" w:type="dxa"/>
              <w:start w:w="90" w:type="dxa"/>
              <w:end w:w="90" w:type="dxa"/>
            </w:tcMar>
            <w:shd w:val="clear" w:fill="EEF3F8"/>
          </w:tcPr>
          <w:p>
            <w:r>
              <w:rPr>
                <w:b w:val="0"/>
                <w:sz w:val="17"/>
              </w:rPr>
              <w:t>Self-* loops</w:t>
            </w:r>
          </w:p>
        </w:tc>
        <w:tc>
          <w:tcPr>
            <w:tcW w:type="dxa" w:w="3264"/>
            <w:tcMar>
              <w:top w:w="60" w:type="dxa"/>
              <w:bottom w:w="60" w:type="dxa"/>
              <w:start w:w="90" w:type="dxa"/>
              <w:end w:w="90" w:type="dxa"/>
            </w:tcMar>
            <w:shd w:val="clear" w:fill="EEF3F8"/>
          </w:tcPr>
          <w:p>
            <w:r>
              <w:rPr>
                <w:b w:val="0"/>
                <w:sz w:val="17"/>
              </w:rPr>
              <w:t>mimir_self_loop.mmd</w:t>
            </w:r>
          </w:p>
        </w:tc>
        <w:tc>
          <w:tcPr>
            <w:tcW w:type="dxa" w:w="3264"/>
            <w:tcMar>
              <w:top w:w="60" w:type="dxa"/>
              <w:bottom w:w="60" w:type="dxa"/>
              <w:start w:w="90" w:type="dxa"/>
              <w:end w:w="90" w:type="dxa"/>
            </w:tcMar>
            <w:shd w:val="clear" w:fill="EEF3F8"/>
          </w:tcPr>
          <w:p>
            <w:r>
              <w:rPr>
                <w:b w:val="0"/>
                <w:sz w:val="17"/>
              </w:rPr>
              <w:t>mimir_self_loop.drawio</w:t>
            </w:r>
          </w:p>
        </w:tc>
      </w:tr>
      <w:tr>
        <w:tc>
          <w:tcPr>
            <w:tcW w:type="dxa" w:w="3264"/>
            <w:tcMar>
              <w:top w:w="60" w:type="dxa"/>
              <w:bottom w:w="60" w:type="dxa"/>
              <w:start w:w="90" w:type="dxa"/>
              <w:end w:w="90" w:type="dxa"/>
            </w:tcMar>
            <w:shd w:val="clear" w:fill="FFFFFF"/>
          </w:tcPr>
          <w:p>
            <w:r>
              <w:rPr>
                <w:b w:val="0"/>
                <w:sz w:val="17"/>
              </w:rPr>
              <w:t>Data model</w:t>
            </w:r>
          </w:p>
        </w:tc>
        <w:tc>
          <w:tcPr>
            <w:tcW w:type="dxa" w:w="3264"/>
            <w:tcMar>
              <w:top w:w="60" w:type="dxa"/>
              <w:bottom w:w="60" w:type="dxa"/>
              <w:start w:w="90" w:type="dxa"/>
              <w:end w:w="90" w:type="dxa"/>
            </w:tcMar>
            <w:shd w:val="clear" w:fill="FFFFFF"/>
          </w:tcPr>
          <w:p>
            <w:r>
              <w:rPr>
                <w:b w:val="0"/>
                <w:sz w:val="17"/>
              </w:rPr>
              <w:t>mimir_er.mmd</w:t>
            </w:r>
          </w:p>
        </w:tc>
        <w:tc>
          <w:tcPr>
            <w:tcW w:type="dxa" w:w="3264"/>
            <w:tcMar>
              <w:top w:w="60" w:type="dxa"/>
              <w:bottom w:w="60" w:type="dxa"/>
              <w:start w:w="90" w:type="dxa"/>
              <w:end w:w="90" w:type="dxa"/>
            </w:tcMar>
            <w:shd w:val="clear" w:fill="FFFFFF"/>
          </w:tcPr>
          <w:p>
            <w:r>
              <w:rPr>
                <w:b w:val="0"/>
                <w:sz w:val="17"/>
              </w:rPr>
              <w:t>mimir_er.drawio</w:t>
            </w:r>
          </w:p>
        </w:tc>
      </w:tr>
      <w:tr>
        <w:tc>
          <w:tcPr>
            <w:tcW w:type="dxa" w:w="3264"/>
            <w:tcMar>
              <w:top w:w="60" w:type="dxa"/>
              <w:bottom w:w="60" w:type="dxa"/>
              <w:start w:w="90" w:type="dxa"/>
              <w:end w:w="90" w:type="dxa"/>
            </w:tcMar>
            <w:shd w:val="clear" w:fill="EEF3F8"/>
          </w:tcPr>
          <w:p>
            <w:r>
              <w:rPr>
                <w:b w:val="0"/>
                <w:sz w:val="17"/>
              </w:rPr>
              <w:t>Primary sequence</w:t>
            </w:r>
          </w:p>
        </w:tc>
        <w:tc>
          <w:tcPr>
            <w:tcW w:type="dxa" w:w="3264"/>
            <w:tcMar>
              <w:top w:w="60" w:type="dxa"/>
              <w:bottom w:w="60" w:type="dxa"/>
              <w:start w:w="90" w:type="dxa"/>
              <w:end w:w="90" w:type="dxa"/>
            </w:tcMar>
            <w:shd w:val="clear" w:fill="EEF3F8"/>
          </w:tcPr>
          <w:p>
            <w:r>
              <w:rPr>
                <w:b w:val="0"/>
                <w:sz w:val="17"/>
              </w:rPr>
              <w:t>mimir_seq_primary.mmd</w:t>
            </w:r>
          </w:p>
        </w:tc>
        <w:tc>
          <w:tcPr>
            <w:tcW w:type="dxa" w:w="3264"/>
            <w:tcMar>
              <w:top w:w="60" w:type="dxa"/>
              <w:bottom w:w="60" w:type="dxa"/>
              <w:start w:w="90" w:type="dxa"/>
              <w:end w:w="90" w:type="dxa"/>
            </w:tcMar>
            <w:shd w:val="clear" w:fill="EEF3F8"/>
          </w:tcPr>
          <w:p>
            <w:r>
              <w:rPr>
                <w:b w:val="0"/>
                <w:sz w:val="17"/>
              </w:rPr>
              <w:t>mimir_seq_primary.drawio</w:t>
            </w:r>
          </w:p>
        </w:tc>
      </w:tr>
      <w:tr>
        <w:tc>
          <w:tcPr>
            <w:tcW w:type="dxa" w:w="3264"/>
            <w:tcMar>
              <w:top w:w="60" w:type="dxa"/>
              <w:bottom w:w="60" w:type="dxa"/>
              <w:start w:w="90" w:type="dxa"/>
              <w:end w:w="90" w:type="dxa"/>
            </w:tcMar>
            <w:shd w:val="clear" w:fill="FFFFFF"/>
          </w:tcPr>
          <w:p>
            <w:r>
              <w:rPr>
                <w:b w:val="0"/>
                <w:sz w:val="17"/>
              </w:rPr>
              <w:t>Journey</w:t>
            </w:r>
          </w:p>
        </w:tc>
        <w:tc>
          <w:tcPr>
            <w:tcW w:type="dxa" w:w="3264"/>
            <w:tcMar>
              <w:top w:w="60" w:type="dxa"/>
              <w:bottom w:w="60" w:type="dxa"/>
              <w:start w:w="90" w:type="dxa"/>
              <w:end w:w="90" w:type="dxa"/>
            </w:tcMar>
            <w:shd w:val="clear" w:fill="FFFFFF"/>
          </w:tcPr>
          <w:p>
            <w:r>
              <w:rPr>
                <w:b w:val="0"/>
                <w:sz w:val="17"/>
              </w:rPr>
              <w:t>mimir_journey.mmd</w:t>
            </w:r>
          </w:p>
        </w:tc>
        <w:tc>
          <w:tcPr>
            <w:tcW w:type="dxa" w:w="3264"/>
            <w:tcMar>
              <w:top w:w="60" w:type="dxa"/>
              <w:bottom w:w="60" w:type="dxa"/>
              <w:start w:w="90" w:type="dxa"/>
              <w:end w:w="90" w:type="dxa"/>
            </w:tcMar>
            <w:shd w:val="clear" w:fill="FFFFFF"/>
          </w:tcPr>
          <w:p>
            <w:r>
              <w:rPr>
                <w:b w:val="0"/>
                <w:sz w:val="17"/>
              </w:rPr>
              <w:t>mimir_journey.drawio</w:t>
            </w:r>
          </w:p>
        </w:tc>
      </w:tr>
      <w:tr>
        <w:tc>
          <w:tcPr>
            <w:tcW w:type="dxa" w:w="3264"/>
            <w:tcMar>
              <w:top w:w="60" w:type="dxa"/>
              <w:bottom w:w="60" w:type="dxa"/>
              <w:start w:w="90" w:type="dxa"/>
              <w:end w:w="90" w:type="dxa"/>
            </w:tcMar>
            <w:shd w:val="clear" w:fill="EEF3F8"/>
          </w:tcPr>
          <w:p>
            <w:r>
              <w:rPr>
                <w:b w:val="0"/>
                <w:sz w:val="17"/>
              </w:rPr>
              <w:t>Deployment</w:t>
            </w:r>
          </w:p>
        </w:tc>
        <w:tc>
          <w:tcPr>
            <w:tcW w:type="dxa" w:w="3264"/>
            <w:tcMar>
              <w:top w:w="60" w:type="dxa"/>
              <w:bottom w:w="60" w:type="dxa"/>
              <w:start w:w="90" w:type="dxa"/>
              <w:end w:w="90" w:type="dxa"/>
            </w:tcMar>
            <w:shd w:val="clear" w:fill="EEF3F8"/>
          </w:tcPr>
          <w:p>
            <w:r>
              <w:rPr>
                <w:b w:val="0"/>
                <w:sz w:val="17"/>
              </w:rPr>
              <w:t>mimir_deployment.mmd</w:t>
            </w:r>
          </w:p>
        </w:tc>
        <w:tc>
          <w:tcPr>
            <w:tcW w:type="dxa" w:w="3264"/>
            <w:tcMar>
              <w:top w:w="60" w:type="dxa"/>
              <w:bottom w:w="60" w:type="dxa"/>
              <w:start w:w="90" w:type="dxa"/>
              <w:end w:w="90" w:type="dxa"/>
            </w:tcMar>
            <w:shd w:val="clear" w:fill="EEF3F8"/>
          </w:tcPr>
          <w:p>
            <w:r>
              <w:rPr>
                <w:b w:val="0"/>
                <w:sz w:val="17"/>
              </w:rPr>
              <w:t>mimir_deployment.drawio</w:t>
            </w:r>
          </w:p>
        </w:tc>
      </w:tr>
      <w:tr>
        <w:tc>
          <w:tcPr>
            <w:tcW w:type="dxa" w:w="3264"/>
            <w:tcMar>
              <w:top w:w="60" w:type="dxa"/>
              <w:bottom w:w="60" w:type="dxa"/>
              <w:start w:w="90" w:type="dxa"/>
              <w:end w:w="90" w:type="dxa"/>
            </w:tcMar>
            <w:shd w:val="clear" w:fill="FFFFFF"/>
          </w:tcPr>
          <w:p>
            <w:r>
              <w:rPr>
                <w:b w:val="0"/>
                <w:sz w:val="17"/>
              </w:rPr>
              <w:t>CI/CD</w:t>
            </w:r>
          </w:p>
        </w:tc>
        <w:tc>
          <w:tcPr>
            <w:tcW w:type="dxa" w:w="3264"/>
            <w:tcMar>
              <w:top w:w="60" w:type="dxa"/>
              <w:bottom w:w="60" w:type="dxa"/>
              <w:start w:w="90" w:type="dxa"/>
              <w:end w:w="90" w:type="dxa"/>
            </w:tcMar>
            <w:shd w:val="clear" w:fill="FFFFFF"/>
          </w:tcPr>
          <w:p>
            <w:r>
              <w:rPr>
                <w:b w:val="0"/>
                <w:sz w:val="17"/>
              </w:rPr>
              <w:t>mimir_cicd.mmd</w:t>
            </w:r>
          </w:p>
        </w:tc>
        <w:tc>
          <w:tcPr>
            <w:tcW w:type="dxa" w:w="3264"/>
            <w:tcMar>
              <w:top w:w="60" w:type="dxa"/>
              <w:bottom w:w="60" w:type="dxa"/>
              <w:start w:w="90" w:type="dxa"/>
              <w:end w:w="90" w:type="dxa"/>
            </w:tcMar>
            <w:shd w:val="clear" w:fill="FFFFFF"/>
          </w:tcPr>
          <w:p>
            <w:r>
              <w:rPr>
                <w:b w:val="0"/>
                <w:sz w:val="17"/>
              </w:rPr>
              <w:t>mimir_cicd.drawio</w:t>
            </w:r>
          </w:p>
        </w:tc>
      </w:tr>
      <w:tr>
        <w:tc>
          <w:tcPr>
            <w:tcW w:type="dxa" w:w="3264"/>
            <w:tcMar>
              <w:top w:w="60" w:type="dxa"/>
              <w:bottom w:w="60" w:type="dxa"/>
              <w:start w:w="90" w:type="dxa"/>
              <w:end w:w="90" w:type="dxa"/>
            </w:tcMar>
            <w:shd w:val="clear" w:fill="EEF3F8"/>
          </w:tcPr>
          <w:p>
            <w:r>
              <w:rPr>
                <w:b w:val="0"/>
                <w:sz w:val="17"/>
              </w:rPr>
              <w:t>Threat DFD</w:t>
            </w:r>
          </w:p>
        </w:tc>
        <w:tc>
          <w:tcPr>
            <w:tcW w:type="dxa" w:w="3264"/>
            <w:tcMar>
              <w:top w:w="60" w:type="dxa"/>
              <w:bottom w:w="60" w:type="dxa"/>
              <w:start w:w="90" w:type="dxa"/>
              <w:end w:w="90" w:type="dxa"/>
            </w:tcMar>
            <w:shd w:val="clear" w:fill="EEF3F8"/>
          </w:tcPr>
          <w:p>
            <w:r>
              <w:rPr>
                <w:b w:val="0"/>
                <w:sz w:val="17"/>
              </w:rPr>
              <w:t>mimir_threat_dfd.mmd</w:t>
            </w:r>
          </w:p>
        </w:tc>
        <w:tc>
          <w:tcPr>
            <w:tcW w:type="dxa" w:w="3264"/>
            <w:tcMar>
              <w:top w:w="60" w:type="dxa"/>
              <w:bottom w:w="60" w:type="dxa"/>
              <w:start w:w="90" w:type="dxa"/>
              <w:end w:w="90" w:type="dxa"/>
            </w:tcMar>
            <w:shd w:val="clear" w:fill="EEF3F8"/>
          </w:tcPr>
          <w:p>
            <w:r>
              <w:rPr>
                <w:b w:val="0"/>
                <w:sz w:val="17"/>
              </w:rPr>
              <w:t>mimir_threat_dfd.drawio</w:t>
            </w:r>
          </w:p>
        </w:tc>
      </w:tr>
    </w:tbl>
    <w:p/>
    <w:sectPr w:rsidR="00FC693F" w:rsidRPr="0006063C" w:rsidSect="00034616">
      <w:headerReference w:type="default" r:id="rId19"/>
      <w:footerReference w:type="default" r:id="rId2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Mimir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