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4884"/>
          <w:sz w:val="40"/>
        </w:rPr>
        <w:t>AKUMA ENGINEERING LTD.</w:t>
      </w:r>
    </w:p>
    <w:p>
      <w:pPr>
        <w:jc w:val="center"/>
      </w:pPr>
      <w:r>
        <w:rPr>
          <w:i/>
          <w:color w:val="595959"/>
          <w:sz w:val="24"/>
        </w:rPr>
        <w:t>Solutions Architecture Document</w:t>
      </w:r>
    </w:p>
    <w:p/>
    <w:p>
      <w:pPr>
        <w:jc w:val="center"/>
      </w:pPr>
      <w:r>
        <w:rPr>
          <w:b/>
          <w:color w:val="1A1A1A"/>
          <w:sz w:val="60"/>
        </w:rPr>
        <w:t>Mimir — Model-Supply Gap Resolution</w:t>
      </w:r>
    </w:p>
    <w:p>
      <w:pPr>
        <w:jc w:val="center"/>
      </w:pPr>
      <w:r>
        <w:rPr>
          <w:i/>
          <w:color w:val="1168BD"/>
          <w:sz w:val="26"/>
        </w:rPr>
        <w:t>Design-change record: sovereign multi-model provenance for GLM, Nemotron &amp; Gemma</w:t>
      </w:r>
    </w:p>
    <w:p/>
    <w:p>
      <w:pPr>
        <w:jc w:val="center"/>
      </w:pPr>
      <w:r>
        <w:rPr>
          <w:color w:val="1A1A1A"/>
          <w:sz w:val="21"/>
        </w:rPr>
        <w:t>Forward-looking design specification  ·  Version 1.0  ·  2026-07-02</w:t>
      </w:r>
    </w:p>
    <w:p/>
    <w:p/>
    <w:p>
      <w:pPr>
        <w:jc w:val="center"/>
      </w:pPr>
      <w:r>
        <w:rPr>
          <w:b/>
          <w:color w:val="0B4884"/>
          <w:sz w:val="20"/>
        </w:rPr>
        <w:t>CONFIDENTIAL — RECIPIENT EYES ONLY</w:t>
      </w:r>
    </w:p>
    <w:p>
      <w:pPr>
        <w:jc w:val="center"/>
      </w:pPr>
      <w:r>
        <w:rPr>
          <w:i/>
          <w:color w:val="595959"/>
          <w:sz w:val="16"/>
        </w:rPr>
        <w:t>This document is a forward-looking architectural design specification for a greenfield system. It describes intended design, not implemented and verified code. Every design decision is tagged with its provenance (design driver, requirement ID, or external standard). It is not evidence of an existing implementation.</w:t>
      </w:r>
    </w:p>
    <w:p>
      <w:r>
        <w:br w:type="page"/>
      </w:r>
    </w:p>
    <w:p>
      <w:pPr>
        <w:pStyle w:val="Heading1"/>
      </w:pPr>
      <w:r>
        <w:t>Document Control</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3168"/>
            <w:tcMar>
              <w:top w:w="60" w:type="dxa"/>
              <w:bottom w:w="60" w:type="dxa"/>
              <w:start w:w="90" w:type="dxa"/>
              <w:end w:w="90" w:type="dxa"/>
            </w:tcMar>
            <w:shd w:val="clear" w:fill="FFFFFF"/>
          </w:tcPr>
          <w:p>
            <w:r>
              <w:rPr>
                <w:b/>
                <w:color w:val="0B4884"/>
                <w:sz w:val="19"/>
              </w:rPr>
              <w:t>Document Title</w:t>
            </w:r>
          </w:p>
        </w:tc>
        <w:tc>
          <w:tcPr>
            <w:tcW w:type="dxa" w:w="6624"/>
            <w:tcMar>
              <w:top w:w="60" w:type="dxa"/>
              <w:bottom w:w="60" w:type="dxa"/>
              <w:start w:w="90" w:type="dxa"/>
              <w:end w:w="90" w:type="dxa"/>
            </w:tcMar>
            <w:shd w:val="clear" w:fill="FFFFFF"/>
          </w:tcPr>
          <w:p>
            <w:r>
              <w:rPr>
                <w:sz w:val="19"/>
              </w:rPr>
              <w:t>Mimir — Model-Supply Gap Resolution — Solutions Architecture Document</w:t>
            </w:r>
          </w:p>
        </w:tc>
      </w:tr>
      <w:tr>
        <w:tc>
          <w:tcPr>
            <w:tcW w:type="dxa" w:w="3168"/>
            <w:tcMar>
              <w:top w:w="60" w:type="dxa"/>
              <w:bottom w:w="60" w:type="dxa"/>
              <w:start w:w="90" w:type="dxa"/>
              <w:end w:w="90" w:type="dxa"/>
            </w:tcMar>
            <w:shd w:val="clear" w:fill="EEF3F8"/>
          </w:tcPr>
          <w:p>
            <w:r>
              <w:rPr>
                <w:b/>
                <w:color w:val="0B4884"/>
                <w:sz w:val="19"/>
              </w:rPr>
              <w:t>System</w:t>
            </w:r>
          </w:p>
        </w:tc>
        <w:tc>
          <w:tcPr>
            <w:tcW w:type="dxa" w:w="6624"/>
            <w:tcMar>
              <w:top w:w="60" w:type="dxa"/>
              <w:bottom w:w="60" w:type="dxa"/>
              <w:start w:w="90" w:type="dxa"/>
              <w:end w:w="90" w:type="dxa"/>
            </w:tcMar>
            <w:shd w:val="clear" w:fill="EEF3F8"/>
          </w:tcPr>
          <w:p>
            <w:r>
              <w:rPr>
                <w:sz w:val="19"/>
              </w:rPr>
              <w:t>Mimir — Model-Supply Gap Resolution</w:t>
            </w:r>
          </w:p>
        </w:tc>
      </w:tr>
      <w:tr>
        <w:tc>
          <w:tcPr>
            <w:tcW w:type="dxa" w:w="3168"/>
            <w:tcMar>
              <w:top w:w="60" w:type="dxa"/>
              <w:bottom w:w="60" w:type="dxa"/>
              <w:start w:w="90" w:type="dxa"/>
              <w:end w:w="90" w:type="dxa"/>
            </w:tcMar>
            <w:shd w:val="clear" w:fill="FFFFFF"/>
          </w:tcPr>
          <w:p>
            <w:r>
              <w:rPr>
                <w:b/>
                <w:color w:val="0B4884"/>
                <w:sz w:val="19"/>
              </w:rPr>
              <w:t>Competitor benchmark</w:t>
            </w:r>
          </w:p>
        </w:tc>
        <w:tc>
          <w:tcPr>
            <w:tcW w:type="dxa" w:w="6624"/>
            <w:tcMar>
              <w:top w:w="60" w:type="dxa"/>
              <w:bottom w:w="60" w:type="dxa"/>
              <w:start w:w="90" w:type="dxa"/>
              <w:end w:w="90" w:type="dxa"/>
            </w:tcMar>
            <w:shd w:val="clear" w:fill="FFFFFF"/>
          </w:tcPr>
          <w:p>
            <w:r>
              <w:rPr>
                <w:sz w:val="19"/>
              </w:rPr>
              <w:t>Palantir AIP (k-LLM model plane)</w:t>
            </w:r>
          </w:p>
        </w:tc>
      </w:tr>
      <w:tr>
        <w:tc>
          <w:tcPr>
            <w:tcW w:type="dxa" w:w="3168"/>
            <w:tcMar>
              <w:top w:w="60" w:type="dxa"/>
              <w:bottom w:w="60" w:type="dxa"/>
              <w:start w:w="90" w:type="dxa"/>
              <w:end w:w="90" w:type="dxa"/>
            </w:tcMar>
            <w:shd w:val="clear" w:fill="EEF3F8"/>
          </w:tcPr>
          <w:p>
            <w:r>
              <w:rPr>
                <w:b/>
                <w:color w:val="0B4884"/>
                <w:sz w:val="19"/>
              </w:rPr>
              <w:t>Author</w:t>
            </w:r>
          </w:p>
        </w:tc>
        <w:tc>
          <w:tcPr>
            <w:tcW w:type="dxa" w:w="6624"/>
            <w:tcMar>
              <w:top w:w="60" w:type="dxa"/>
              <w:bottom w:w="60" w:type="dxa"/>
              <w:start w:w="90" w:type="dxa"/>
              <w:end w:w="90" w:type="dxa"/>
            </w:tcMar>
            <w:shd w:val="clear" w:fill="EEF3F8"/>
          </w:tcPr>
          <w:p>
            <w:r>
              <w:rPr>
                <w:sz w:val="19"/>
              </w:rPr>
              <w:t>Akuma Engineering Ltd. — Architecture Practice — for JB Benjamin, CEO / Founder</w:t>
            </w:r>
          </w:p>
        </w:tc>
      </w:tr>
      <w:tr>
        <w:tc>
          <w:tcPr>
            <w:tcW w:type="dxa" w:w="3168"/>
            <w:tcMar>
              <w:top w:w="60" w:type="dxa"/>
              <w:bottom w:w="60" w:type="dxa"/>
              <w:start w:w="90" w:type="dxa"/>
              <w:end w:w="90" w:type="dxa"/>
            </w:tcMar>
            <w:shd w:val="clear" w:fill="FFFFFF"/>
          </w:tcPr>
          <w:p>
            <w:r>
              <w:rPr>
                <w:b/>
                <w:color w:val="0B4884"/>
                <w:sz w:val="19"/>
              </w:rPr>
              <w:t>Reviewer</w:t>
            </w:r>
          </w:p>
        </w:tc>
        <w:tc>
          <w:tcPr>
            <w:tcW w:type="dxa" w:w="6624"/>
            <w:tcMar>
              <w:top w:w="60" w:type="dxa"/>
              <w:bottom w:w="60" w:type="dxa"/>
              <w:start w:w="90" w:type="dxa"/>
              <w:end w:w="90" w:type="dxa"/>
            </w:tcMar>
            <w:shd w:val="clear" w:fill="FFFFFF"/>
          </w:tcPr>
          <w:p>
            <w:r>
              <w:rPr>
                <w:sz w:val="19"/>
              </w:rPr>
            </w:r>
          </w:p>
        </w:tc>
      </w:tr>
      <w:tr>
        <w:tc>
          <w:tcPr>
            <w:tcW w:type="dxa" w:w="3168"/>
            <w:tcMar>
              <w:top w:w="60" w:type="dxa"/>
              <w:bottom w:w="60" w:type="dxa"/>
              <w:start w:w="90" w:type="dxa"/>
              <w:end w:w="90" w:type="dxa"/>
            </w:tcMar>
            <w:shd w:val="clear" w:fill="EEF3F8"/>
          </w:tcPr>
          <w:p>
            <w:r>
              <w:rPr>
                <w:b/>
                <w:color w:val="0B4884"/>
                <w:sz w:val="19"/>
              </w:rPr>
              <w:t>Date</w:t>
            </w:r>
          </w:p>
        </w:tc>
        <w:tc>
          <w:tcPr>
            <w:tcW w:type="dxa" w:w="6624"/>
            <w:tcMar>
              <w:top w:w="60" w:type="dxa"/>
              <w:bottom w:w="60" w:type="dxa"/>
              <w:start w:w="90" w:type="dxa"/>
              <w:end w:w="90" w:type="dxa"/>
            </w:tcMar>
            <w:shd w:val="clear" w:fill="EEF3F8"/>
          </w:tcPr>
          <w:p>
            <w:r>
              <w:rPr>
                <w:sz w:val="19"/>
              </w:rPr>
              <w:t>2026-07-02</w:t>
            </w:r>
          </w:p>
        </w:tc>
      </w:tr>
      <w:tr>
        <w:tc>
          <w:tcPr>
            <w:tcW w:type="dxa" w:w="3168"/>
            <w:tcMar>
              <w:top w:w="60" w:type="dxa"/>
              <w:bottom w:w="60" w:type="dxa"/>
              <w:start w:w="90" w:type="dxa"/>
              <w:end w:w="90" w:type="dxa"/>
            </w:tcMar>
            <w:shd w:val="clear" w:fill="FFFFFF"/>
          </w:tcPr>
          <w:p>
            <w:r>
              <w:rPr>
                <w:b/>
                <w:color w:val="0B4884"/>
                <w:sz w:val="19"/>
              </w:rPr>
              <w:t>Version</w:t>
            </w:r>
          </w:p>
        </w:tc>
        <w:tc>
          <w:tcPr>
            <w:tcW w:type="dxa" w:w="6624"/>
            <w:tcMar>
              <w:top w:w="60" w:type="dxa"/>
              <w:bottom w:w="60" w:type="dxa"/>
              <w:start w:w="90" w:type="dxa"/>
              <w:end w:w="90" w:type="dxa"/>
            </w:tcMar>
            <w:shd w:val="clear" w:fill="FFFFFF"/>
          </w:tcPr>
          <w:p>
            <w:r>
              <w:rPr>
                <w:sz w:val="19"/>
              </w:rPr>
              <w:t>1.0</w:t>
            </w:r>
          </w:p>
        </w:tc>
      </w:tr>
      <w:tr>
        <w:tc>
          <w:tcPr>
            <w:tcW w:type="dxa" w:w="3168"/>
            <w:tcMar>
              <w:top w:w="60" w:type="dxa"/>
              <w:bottom w:w="60" w:type="dxa"/>
              <w:start w:w="90" w:type="dxa"/>
              <w:end w:w="90" w:type="dxa"/>
            </w:tcMar>
            <w:shd w:val="clear" w:fill="EEF3F8"/>
          </w:tcPr>
          <w:p>
            <w:r>
              <w:rPr>
                <w:b/>
                <w:color w:val="0B4884"/>
                <w:sz w:val="19"/>
              </w:rPr>
              <w:t>Classification</w:t>
            </w:r>
          </w:p>
        </w:tc>
        <w:tc>
          <w:tcPr>
            <w:tcW w:type="dxa" w:w="6624"/>
            <w:tcMar>
              <w:top w:w="60" w:type="dxa"/>
              <w:bottom w:w="60" w:type="dxa"/>
              <w:start w:w="90" w:type="dxa"/>
              <w:end w:w="90" w:type="dxa"/>
            </w:tcMar>
            <w:shd w:val="clear" w:fill="EEF3F8"/>
          </w:tcPr>
          <w:p>
            <w:r>
              <w:rPr>
                <w:sz w:val="19"/>
              </w:rPr>
              <w:t>CONFIDENTIAL — RECIPIENT EYES ONLY</w:t>
            </w:r>
          </w:p>
        </w:tc>
      </w:tr>
      <w:tr>
        <w:tc>
          <w:tcPr>
            <w:tcW w:type="dxa" w:w="3168"/>
            <w:tcMar>
              <w:top w:w="60" w:type="dxa"/>
              <w:bottom w:w="60" w:type="dxa"/>
              <w:start w:w="90" w:type="dxa"/>
              <w:end w:w="90" w:type="dxa"/>
            </w:tcMar>
            <w:shd w:val="clear" w:fill="FFFFFF"/>
          </w:tcPr>
          <w:p>
            <w:r>
              <w:rPr>
                <w:b/>
                <w:color w:val="0B4884"/>
                <w:sz w:val="19"/>
              </w:rPr>
              <w:t>Generated By</w:t>
            </w:r>
          </w:p>
        </w:tc>
        <w:tc>
          <w:tcPr>
            <w:tcW w:type="dxa" w:w="6624"/>
            <w:tcMar>
              <w:top w:w="60" w:type="dxa"/>
              <w:bottom w:w="60" w:type="dxa"/>
              <w:start w:w="90" w:type="dxa"/>
              <w:end w:w="90" w:type="dxa"/>
            </w:tcMar>
            <w:shd w:val="clear" w:fill="FFFFFF"/>
          </w:tcPr>
          <w:p>
            <w:r>
              <w:rPr>
                <w:sz w:val="19"/>
              </w:rPr>
              <w:t>Imhotep skill (Anthropic Claude), greenfield design-spec mode</w:t>
            </w:r>
          </w:p>
        </w:tc>
      </w:tr>
      <w:tr>
        <w:tc>
          <w:tcPr>
            <w:tcW w:type="dxa" w:w="3168"/>
            <w:tcMar>
              <w:top w:w="60" w:type="dxa"/>
              <w:bottom w:w="60" w:type="dxa"/>
              <w:start w:w="90" w:type="dxa"/>
              <w:end w:w="90" w:type="dxa"/>
            </w:tcMar>
            <w:shd w:val="clear" w:fill="EEF3F8"/>
          </w:tcPr>
          <w:p>
            <w:r>
              <w:rPr>
                <w:b/>
                <w:color w:val="0B4884"/>
                <w:sz w:val="19"/>
              </w:rPr>
              <w:t>Document type</w:t>
            </w:r>
          </w:p>
        </w:tc>
        <w:tc>
          <w:tcPr>
            <w:tcW w:type="dxa" w:w="6624"/>
            <w:tcMar>
              <w:top w:w="60" w:type="dxa"/>
              <w:bottom w:w="60" w:type="dxa"/>
              <w:start w:w="90" w:type="dxa"/>
              <w:end w:w="90" w:type="dxa"/>
            </w:tcMar>
            <w:shd w:val="clear" w:fill="EEF3F8"/>
          </w:tcPr>
          <w:p>
            <w:r>
              <w:rPr>
                <w:sz w:val="19"/>
              </w:rPr>
              <w:t>Forward-looking design specification (greenfield)</w:t>
            </w:r>
          </w:p>
        </w:tc>
      </w:tr>
    </w:tbl>
    <w:p/>
    <w:p>
      <w:pPr>
        <w:pStyle w:val="Heading1"/>
      </w:pPr>
      <w:r>
        <w:t>Contents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Purpose &amp; Change Summary</w:t>
      </w:r>
    </w:p>
    <w:p>
      <w:r>
        <w:rPr>
          <w:sz w:val="21"/>
        </w:rPr>
        <w:t xml:space="preserve">This is a design-change record (DCR) against the Mimir Solutions Architecture Document (SAD_02). It resolves the open design gap recorded in Mimir SAD §11.3 / §15 and Midgard core SAD §11.12 — *local model-weight provenance* — and simultaneously implements an approved capability expansion: users may run the most advanced locally-runnable variants of </w:t>
      </w:r>
      <w:r>
        <w:rPr>
          <w:b/>
          <w:sz w:val="21"/>
        </w:rPr>
        <w:t>three model families — GLM, NVIDIA Nemotron, and Google Gemma</w:t>
      </w:r>
      <w:r>
        <w:rPr>
          <w:sz w:val="21"/>
        </w:rPr>
        <w:t xml:space="preserve"> — inside the enclosure, selectable per workflow. </w:t>
      </w:r>
      <w:r>
        <w:rPr>
          <w:rFonts w:ascii="Consolas" w:hAnsi="Consolas"/>
          <w:color w:val="0B4884"/>
          <w:sz w:val="18"/>
        </w:rPr>
        <w:t>[DD-4]</w:t>
      </w:r>
      <w:r>
        <w:rPr>
          <w:sz w:val="21"/>
        </w:rPr>
        <w:t xml:space="preserve"> </w:t>
      </w:r>
      <w:r>
        <w:rPr>
          <w:rFonts w:ascii="Consolas" w:hAnsi="Consolas"/>
          <w:color w:val="0B4884"/>
          <w:sz w:val="18"/>
        </w:rPr>
        <w:t>[DD-5]</w:t>
      </w:r>
      <w:r>
        <w:rPr>
          <w:sz w:val="21"/>
        </w:rPr>
        <w:t xml:space="preserve"> </w:t>
      </w:r>
      <w:r>
        <w:rPr>
          <w:rFonts w:ascii="Consolas" w:hAnsi="Consolas"/>
          <w:color w:val="0B4884"/>
          <w:sz w:val="18"/>
        </w:rPr>
        <w:t>[DD-7]</w:t>
      </w:r>
      <w:r>
        <w:rPr>
          <w:sz w:val="21"/>
        </w:rPr>
      </w:r>
    </w:p>
    <w:p>
      <w:r>
        <w:rPr>
          <w:sz w:val="21"/>
        </w:rPr>
        <w:t xml:space="preserve">As with the SADs, this is a </w:t>
      </w:r>
      <w:r>
        <w:rPr>
          <w:b/>
          <w:sz w:val="21"/>
        </w:rPr>
        <w:t>forward-looking design specification</w:t>
      </w:r>
      <w:r>
        <w:rPr>
          <w:sz w:val="21"/>
        </w:rPr>
        <w:t>. Every decision carries a provenance tag (</w:t>
      </w:r>
      <w:r>
        <w:rPr>
          <w:rFonts w:ascii="Consolas" w:hAnsi="Consolas"/>
          <w:color w:val="0B4884"/>
          <w:sz w:val="18"/>
        </w:rPr>
        <w:t>[DD-n]</w:t>
      </w:r>
      <w:r>
        <w:rPr>
          <w:sz w:val="21"/>
        </w:rPr>
        <w:t xml:space="preserve">, </w:t>
      </w:r>
      <w:r>
        <w:rPr>
          <w:rFonts w:ascii="Consolas" w:hAnsi="Consolas"/>
          <w:color w:val="0B4884"/>
          <w:sz w:val="18"/>
        </w:rPr>
        <w:t>[FR-n]</w:t>
      </w:r>
      <w:r>
        <w:rPr>
          <w:sz w:val="21"/>
        </w:rPr>
        <w:t xml:space="preserve">, </w:t>
      </w:r>
      <w:r>
        <w:rPr>
          <w:rFonts w:ascii="Consolas" w:hAnsi="Consolas"/>
          <w:color w:val="0B4884"/>
          <w:sz w:val="18"/>
        </w:rPr>
        <w:t>[NFR-n]</w:t>
      </w:r>
      <w:r>
        <w:rPr>
          <w:sz w:val="21"/>
        </w:rPr>
        <w:t xml:space="preserve">, </w:t>
      </w:r>
      <w:r>
        <w:rPr>
          <w:rFonts w:ascii="Consolas" w:hAnsi="Consolas"/>
          <w:color w:val="0B4884"/>
          <w:sz w:val="18"/>
        </w:rPr>
        <w:t>[STD:...]</w:t>
      </w:r>
      <w:r>
        <w:rPr>
          <w:sz w:val="21"/>
        </w:rPr>
        <w:t>); it describes intended design, not verified implementation.</w:t>
      </w:r>
    </w:p>
    <w:p>
      <w:pPr>
        <w:shd w:val="clear" w:fill="EEF3F8"/>
        <w:pBdr>
          <w:left w:val="single" w:sz="18" w:space="8" w:color="0B4884"/>
        </w:pBdr>
        <w:ind w:left="144"/>
      </w:pPr>
      <w:r>
        <w:rPr>
          <w:sz w:val="21"/>
        </w:rPr>
      </w:r>
      <w:r>
        <w:rPr>
          <w:b/>
          <w:sz w:val="21"/>
        </w:rPr>
        <w:t>Resolution in one sentence.</w:t>
      </w:r>
      <w:r>
        <w:rPr>
          <w:sz w:val="21"/>
        </w:rPr>
        <w:t xml:space="preserve"> The gap is closed by making model supply a *cryptographic custody-transfer problem solved with the machinery the suite already has*: models are fetched and verified in a network-connected staging enclave, re-signed under Akuma's post-quantum ML-DSA key, delivered across the air gap as signed Bifrost bundles, recorded in a new Model Registry, and verified-on-load by the inference runtime — which fails closed on any signature, licence, or hardware-eligibility mismatch. </w:t>
      </w:r>
      <w:r>
        <w:rPr>
          <w:rFonts w:ascii="Consolas" w:hAnsi="Consolas"/>
          <w:color w:val="0B4884"/>
          <w:sz w:val="18"/>
        </w:rPr>
        <w:t>[NFR-PQ-3]</w:t>
      </w:r>
      <w:r>
        <w:rPr>
          <w:sz w:val="21"/>
        </w:rPr>
        <w:t xml:space="preserve"> </w:t>
      </w:r>
      <w:r>
        <w:rPr>
          <w:rFonts w:ascii="Consolas" w:hAnsi="Consolas"/>
          <w:color w:val="0B4884"/>
          <w:sz w:val="18"/>
        </w:rPr>
        <w:t>[FR-B-4]</w:t>
      </w:r>
      <w:r>
        <w:rPr>
          <w:sz w:val="21"/>
        </w:rPr>
      </w:r>
    </w:p>
    <w:p>
      <w:pPr>
        <w:pStyle w:val="Heading2"/>
      </w:pPr>
      <w:r>
        <w:t>1.1 Change classification</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Attribute</w:t>
            </w:r>
          </w:p>
        </w:tc>
        <w:tc>
          <w:tcPr>
            <w:tcW w:type="dxa" w:w="4896"/>
            <w:shd w:val="clear" w:fill="0B4884"/>
            <w:tcMar>
              <w:top w:w="60" w:type="dxa"/>
              <w:bottom w:w="60" w:type="dxa"/>
              <w:start w:w="90" w:type="dxa"/>
              <w:end w:w="90" w:type="dxa"/>
            </w:tcMar>
          </w:tcPr>
          <w:p>
            <w:r>
              <w:rPr>
                <w:b/>
                <w:color w:val="FFFFFF"/>
                <w:sz w:val="18"/>
              </w:rPr>
              <w:t>Value</w:t>
            </w:r>
          </w:p>
        </w:tc>
      </w:tr>
      <w:tr>
        <w:tc>
          <w:tcPr>
            <w:tcW w:type="dxa" w:w="4896"/>
            <w:tcMar>
              <w:top w:w="60" w:type="dxa"/>
              <w:bottom w:w="60" w:type="dxa"/>
              <w:start w:w="90" w:type="dxa"/>
              <w:end w:w="90" w:type="dxa"/>
            </w:tcMar>
            <w:shd w:val="clear" w:fill="FFFFFF"/>
          </w:tcPr>
          <w:p>
            <w:r>
              <w:rPr>
                <w:b w:val="0"/>
                <w:sz w:val="17"/>
              </w:rPr>
              <w:t>Change type</w:t>
            </w:r>
          </w:p>
        </w:tc>
        <w:tc>
          <w:tcPr>
            <w:tcW w:type="dxa" w:w="4896"/>
            <w:tcMar>
              <w:top w:w="60" w:type="dxa"/>
              <w:bottom w:w="60" w:type="dxa"/>
              <w:start w:w="90" w:type="dxa"/>
              <w:end w:w="90" w:type="dxa"/>
            </w:tcMar>
            <w:shd w:val="clear" w:fill="FFFFFF"/>
          </w:tcPr>
          <w:p>
            <w:r>
              <w:rPr>
                <w:b w:val="0"/>
                <w:sz w:val="17"/>
              </w:rPr>
              <w:t>Architecture change — gap resolution + capability addition</w:t>
            </w:r>
          </w:p>
        </w:tc>
      </w:tr>
      <w:tr>
        <w:tc>
          <w:tcPr>
            <w:tcW w:type="dxa" w:w="4896"/>
            <w:tcMar>
              <w:top w:w="60" w:type="dxa"/>
              <w:bottom w:w="60" w:type="dxa"/>
              <w:start w:w="90" w:type="dxa"/>
              <w:end w:w="90" w:type="dxa"/>
            </w:tcMar>
            <w:shd w:val="clear" w:fill="EEF3F8"/>
          </w:tcPr>
          <w:p>
            <w:r>
              <w:rPr>
                <w:b w:val="0"/>
                <w:sz w:val="17"/>
              </w:rPr>
              <w:t>Affected products</w:t>
            </w:r>
          </w:p>
        </w:tc>
        <w:tc>
          <w:tcPr>
            <w:tcW w:type="dxa" w:w="4896"/>
            <w:tcMar>
              <w:top w:w="60" w:type="dxa"/>
              <w:bottom w:w="60" w:type="dxa"/>
              <w:start w:w="90" w:type="dxa"/>
              <w:end w:w="90" w:type="dxa"/>
            </w:tcMar>
            <w:shd w:val="clear" w:fill="EEF3F8"/>
          </w:tcPr>
          <w:p>
            <w:r>
              <w:rPr>
                <w:b w:val="0"/>
                <w:sz w:val="17"/>
              </w:rPr>
              <w:t>Mimir (primary); Forge, Bifrost, Heimdall (consumers, via unchanged contract)</w:t>
            </w:r>
          </w:p>
        </w:tc>
      </w:tr>
      <w:tr>
        <w:tc>
          <w:tcPr>
            <w:tcW w:type="dxa" w:w="4896"/>
            <w:tcMar>
              <w:top w:w="60" w:type="dxa"/>
              <w:bottom w:w="60" w:type="dxa"/>
              <w:start w:w="90" w:type="dxa"/>
              <w:end w:w="90" w:type="dxa"/>
            </w:tcMar>
            <w:shd w:val="clear" w:fill="FFFFFF"/>
          </w:tcPr>
          <w:p>
            <w:r>
              <w:rPr>
                <w:b w:val="0"/>
                <w:sz w:val="17"/>
              </w:rPr>
              <w:t>Gap closed</w:t>
            </w:r>
          </w:p>
        </w:tc>
        <w:tc>
          <w:tcPr>
            <w:tcW w:type="dxa" w:w="4896"/>
            <w:tcMar>
              <w:top w:w="60" w:type="dxa"/>
              <w:bottom w:w="60" w:type="dxa"/>
              <w:start w:w="90" w:type="dxa"/>
              <w:end w:w="90" w:type="dxa"/>
            </w:tcMar>
            <w:shd w:val="clear" w:fill="FFFFFF"/>
          </w:tcPr>
          <w:p>
            <w:r>
              <w:rPr>
                <w:b w:val="0"/>
                <w:sz w:val="17"/>
              </w:rPr>
              <w:t>Local model-weight provenance (was: medium severity, open)</w:t>
            </w:r>
          </w:p>
        </w:tc>
      </w:tr>
      <w:tr>
        <w:tc>
          <w:tcPr>
            <w:tcW w:type="dxa" w:w="4896"/>
            <w:tcMar>
              <w:top w:w="60" w:type="dxa"/>
              <w:bottom w:w="60" w:type="dxa"/>
              <w:start w:w="90" w:type="dxa"/>
              <w:end w:w="90" w:type="dxa"/>
            </w:tcMar>
            <w:shd w:val="clear" w:fill="EEF3F8"/>
          </w:tcPr>
          <w:p>
            <w:r>
              <w:rPr>
                <w:b w:val="0"/>
                <w:sz w:val="17"/>
              </w:rPr>
              <w:t>New severity</w:t>
            </w:r>
          </w:p>
        </w:tc>
        <w:tc>
          <w:tcPr>
            <w:tcW w:type="dxa" w:w="4896"/>
            <w:tcMar>
              <w:top w:w="60" w:type="dxa"/>
              <w:bottom w:w="60" w:type="dxa"/>
              <w:start w:w="90" w:type="dxa"/>
              <w:end w:w="90" w:type="dxa"/>
            </w:tcMar>
            <w:shd w:val="clear" w:fill="EEF3F8"/>
          </w:tcPr>
          <w:p>
            <w:r>
              <w:rPr>
                <w:b w:val="0"/>
                <w:sz w:val="17"/>
              </w:rPr>
              <w:t>Closed (residual items tracked in §9)</w:t>
            </w:r>
          </w:p>
        </w:tc>
      </w:tr>
      <w:tr>
        <w:tc>
          <w:tcPr>
            <w:tcW w:type="dxa" w:w="4896"/>
            <w:tcMar>
              <w:top w:w="60" w:type="dxa"/>
              <w:bottom w:w="60" w:type="dxa"/>
              <w:start w:w="90" w:type="dxa"/>
              <w:end w:w="90" w:type="dxa"/>
            </w:tcMar>
            <w:shd w:val="clear" w:fill="FFFFFF"/>
          </w:tcPr>
          <w:p>
            <w:r>
              <w:rPr>
                <w:b w:val="0"/>
                <w:sz w:val="17"/>
              </w:rPr>
              <w:t>New subsystems</w:t>
            </w:r>
          </w:p>
        </w:tc>
        <w:tc>
          <w:tcPr>
            <w:tcW w:type="dxa" w:w="4896"/>
            <w:tcMar>
              <w:top w:w="60" w:type="dxa"/>
              <w:bottom w:w="60" w:type="dxa"/>
              <w:start w:w="90" w:type="dxa"/>
              <w:end w:w="90" w:type="dxa"/>
            </w:tcMar>
            <w:shd w:val="clear" w:fill="FFFFFF"/>
          </w:tcPr>
          <w:p>
            <w:r>
              <w:rPr>
                <w:b w:val="0"/>
                <w:sz w:val="17"/>
              </w:rPr>
              <w:t>Model Registry &amp; Provenance; Model Abstraction Layer</w:t>
            </w:r>
          </w:p>
        </w:tc>
      </w:tr>
      <w:tr>
        <w:tc>
          <w:tcPr>
            <w:tcW w:type="dxa" w:w="4896"/>
            <w:tcMar>
              <w:top w:w="60" w:type="dxa"/>
              <w:bottom w:w="60" w:type="dxa"/>
              <w:start w:w="90" w:type="dxa"/>
              <w:end w:w="90" w:type="dxa"/>
            </w:tcMar>
            <w:shd w:val="clear" w:fill="EEF3F8"/>
          </w:tcPr>
          <w:p>
            <w:r>
              <w:rPr>
                <w:b w:val="0"/>
                <w:sz w:val="17"/>
              </w:rPr>
              <w:t>Contract impact</w:t>
            </w:r>
          </w:p>
        </w:tc>
        <w:tc>
          <w:tcPr>
            <w:tcW w:type="dxa" w:w="4896"/>
            <w:tcMar>
              <w:top w:w="60" w:type="dxa"/>
              <w:bottom w:w="60" w:type="dxa"/>
              <w:start w:w="90" w:type="dxa"/>
              <w:end w:w="90" w:type="dxa"/>
            </w:tcMar>
            <w:shd w:val="clear" w:fill="EEF3F8"/>
          </w:tcPr>
          <w:p>
            <w:r>
              <w:rPr>
                <w:b w:val="0"/>
                <w:sz w:val="17"/>
              </w:rPr>
              <w:t>None — Mimir inference API is unchanged; consumers unaffected `[DD-6]`</w:t>
            </w:r>
          </w:p>
        </w:tc>
      </w:tr>
    </w:tbl>
    <w:p/>
    <w:p>
      <w:pPr>
        <w:pStyle w:val="Heading2"/>
      </w:pPr>
      <w:r>
        <w:t>1.2 Why this was the priority</w:t>
      </w:r>
    </w:p>
    <w:p>
      <w:r>
        <w:rPr>
          <w:sz w:val="21"/>
        </w:rPr>
        <w:t xml:space="preserve">Mimir is the shared inference dependency for Forge, Bifrost, and Heimdall. An unresolved model-supply gap in Mimir is therefore a latent gap in three other products at once. Closing it — and doing so in a way that preserves the unchanged inference contract — de-risks the whole suite from a single point of change. </w:t>
      </w:r>
      <w:r>
        <w:rPr>
          <w:rFonts w:ascii="Consolas" w:hAnsi="Consolas"/>
          <w:color w:val="0B4884"/>
          <w:sz w:val="18"/>
        </w:rPr>
        <w:t>[DD-6]</w:t>
      </w:r>
      <w:r>
        <w:rPr>
          <w:sz w:val="21"/>
        </w:rPr>
      </w:r>
    </w:p>
    <w:p>
      <w:pPr>
        <w:pStyle w:val="Heading1"/>
      </w:pPr>
      <w:r>
        <w:t>2. The Gap, Decomposed</w:t>
      </w:r>
    </w:p>
    <w:p>
      <w:r>
        <w:rPr>
          <w:sz w:val="21"/>
        </w:rPr>
        <w:t>The original finding bundled three distinct problems. A complete resolution must close all three; the multi-model decision expands the third.</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Sub-problem</w:t>
            </w:r>
          </w:p>
        </w:tc>
        <w:tc>
          <w:tcPr>
            <w:tcW w:type="dxa" w:w="3264"/>
            <w:shd w:val="clear" w:fill="0B4884"/>
            <w:tcMar>
              <w:top w:w="60" w:type="dxa"/>
              <w:bottom w:w="60" w:type="dxa"/>
              <w:start w:w="90" w:type="dxa"/>
              <w:end w:w="90" w:type="dxa"/>
            </w:tcMar>
          </w:tcPr>
          <w:p>
            <w:r>
              <w:rPr>
                <w:b/>
                <w:color w:val="FFFFFF"/>
                <w:sz w:val="18"/>
              </w:rPr>
              <w:t>Question it poses</w:t>
            </w:r>
          </w:p>
        </w:tc>
        <w:tc>
          <w:tcPr>
            <w:tcW w:type="dxa" w:w="3264"/>
            <w:shd w:val="clear" w:fill="0B4884"/>
            <w:tcMar>
              <w:top w:w="60" w:type="dxa"/>
              <w:bottom w:w="60" w:type="dxa"/>
              <w:start w:w="90" w:type="dxa"/>
              <w:end w:w="90" w:type="dxa"/>
            </w:tcMar>
          </w:tcPr>
          <w:p>
            <w:r>
              <w:rPr>
                <w:b/>
                <w:color w:val="FFFFFF"/>
                <w:sz w:val="18"/>
              </w:rPr>
              <w:t>Resolved by</w:t>
            </w:r>
          </w:p>
        </w:tc>
      </w:tr>
      <w:tr>
        <w:tc>
          <w:tcPr>
            <w:tcW w:type="dxa" w:w="3264"/>
            <w:tcMar>
              <w:top w:w="60" w:type="dxa"/>
              <w:bottom w:w="60" w:type="dxa"/>
              <w:start w:w="90" w:type="dxa"/>
              <w:end w:w="90" w:type="dxa"/>
            </w:tcMar>
            <w:shd w:val="clear" w:fill="FFFFFF"/>
          </w:tcPr>
          <w:p>
            <w:r>
              <w:rPr>
                <w:b w:val="0"/>
                <w:sz w:val="17"/>
              </w:rPr>
              <w:t>G1 — Acquisition</w:t>
            </w:r>
          </w:p>
        </w:tc>
        <w:tc>
          <w:tcPr>
            <w:tcW w:type="dxa" w:w="3264"/>
            <w:tcMar>
              <w:top w:w="60" w:type="dxa"/>
              <w:bottom w:w="60" w:type="dxa"/>
              <w:start w:w="90" w:type="dxa"/>
              <w:end w:w="90" w:type="dxa"/>
            </w:tcMar>
            <w:shd w:val="clear" w:fill="FFFFFF"/>
          </w:tcPr>
          <w:p>
            <w:r>
              <w:rPr>
                <w:b w:val="0"/>
                <w:sz w:val="17"/>
              </w:rPr>
              <w:t>How do weights enter an air-gapped enclosure with no hosted dependency?</w:t>
            </w:r>
          </w:p>
        </w:tc>
        <w:tc>
          <w:tcPr>
            <w:tcW w:type="dxa" w:w="3264"/>
            <w:tcMar>
              <w:top w:w="60" w:type="dxa"/>
              <w:bottom w:w="60" w:type="dxa"/>
              <w:start w:w="90" w:type="dxa"/>
              <w:end w:w="90" w:type="dxa"/>
            </w:tcMar>
            <w:shd w:val="clear" w:fill="FFFFFF"/>
          </w:tcPr>
          <w:p>
            <w:r>
              <w:rPr>
                <w:b w:val="0"/>
                <w:sz w:val="17"/>
              </w:rPr>
              <w:t>Two-stage air-gap supply chain via Bifrost bundles (§3)</w:t>
            </w:r>
          </w:p>
        </w:tc>
      </w:tr>
      <w:tr>
        <w:tc>
          <w:tcPr>
            <w:tcW w:type="dxa" w:w="3264"/>
            <w:tcMar>
              <w:top w:w="60" w:type="dxa"/>
              <w:bottom w:w="60" w:type="dxa"/>
              <w:start w:w="90" w:type="dxa"/>
              <w:end w:w="90" w:type="dxa"/>
            </w:tcMar>
            <w:shd w:val="clear" w:fill="EEF3F8"/>
          </w:tcPr>
          <w:p>
            <w:r>
              <w:rPr>
                <w:b w:val="0"/>
                <w:sz w:val="17"/>
              </w:rPr>
              <w:t>G2 — Provenance &amp; integrity</w:t>
            </w:r>
          </w:p>
        </w:tc>
        <w:tc>
          <w:tcPr>
            <w:tcW w:type="dxa" w:w="3264"/>
            <w:tcMar>
              <w:top w:w="60" w:type="dxa"/>
              <w:bottom w:w="60" w:type="dxa"/>
              <w:start w:w="90" w:type="dxa"/>
              <w:end w:w="90" w:type="dxa"/>
            </w:tcMar>
            <w:shd w:val="clear" w:fill="EEF3F8"/>
          </w:tcPr>
          <w:p>
            <w:r>
              <w:rPr>
                <w:b w:val="0"/>
                <w:sz w:val="17"/>
              </w:rPr>
              <w:t>How does the enclosure prove a weight file is authentic, unmodified, and licence-clean before load?</w:t>
            </w:r>
          </w:p>
        </w:tc>
        <w:tc>
          <w:tcPr>
            <w:tcW w:type="dxa" w:w="3264"/>
            <w:tcMar>
              <w:top w:w="60" w:type="dxa"/>
              <w:bottom w:w="60" w:type="dxa"/>
              <w:start w:w="90" w:type="dxa"/>
              <w:end w:w="90" w:type="dxa"/>
            </w:tcMar>
            <w:shd w:val="clear" w:fill="EEF3F8"/>
          </w:tcPr>
          <w:p>
            <w:r>
              <w:rPr>
                <w:b w:val="0"/>
                <w:sz w:val="17"/>
              </w:rPr>
              <w:t>Staging-side verification + Akuma re-signing + verify-on-load (§3, §4)</w:t>
            </w:r>
          </w:p>
        </w:tc>
      </w:tr>
      <w:tr>
        <w:tc>
          <w:tcPr>
            <w:tcW w:type="dxa" w:w="3264"/>
            <w:tcMar>
              <w:top w:w="60" w:type="dxa"/>
              <w:bottom w:w="60" w:type="dxa"/>
              <w:start w:w="90" w:type="dxa"/>
              <w:end w:w="90" w:type="dxa"/>
            </w:tcMar>
            <w:shd w:val="clear" w:fill="FFFFFF"/>
          </w:tcPr>
          <w:p>
            <w:r>
              <w:rPr>
                <w:b w:val="0"/>
                <w:sz w:val="17"/>
              </w:rPr>
              <w:t>G3 — Lifecycle &amp; agility</w:t>
            </w:r>
          </w:p>
        </w:tc>
        <w:tc>
          <w:tcPr>
            <w:tcW w:type="dxa" w:w="3264"/>
            <w:tcMar>
              <w:top w:w="60" w:type="dxa"/>
              <w:bottom w:w="60" w:type="dxa"/>
              <w:start w:w="90" w:type="dxa"/>
              <w:end w:w="90" w:type="dxa"/>
            </w:tcMar>
            <w:shd w:val="clear" w:fill="FFFFFF"/>
          </w:tcPr>
          <w:p>
            <w:r>
              <w:rPr>
                <w:b w:val="0"/>
                <w:sz w:val="17"/>
              </w:rPr>
              <w:t>How are models versioned, rotated, and hot-swapped across families without breaking consumers?</w:t>
            </w:r>
          </w:p>
        </w:tc>
        <w:tc>
          <w:tcPr>
            <w:tcW w:type="dxa" w:w="3264"/>
            <w:tcMar>
              <w:top w:w="60" w:type="dxa"/>
              <w:bottom w:w="60" w:type="dxa"/>
              <w:start w:w="90" w:type="dxa"/>
              <w:end w:w="90" w:type="dxa"/>
            </w:tcMar>
            <w:shd w:val="clear" w:fill="FFFFFF"/>
          </w:tcPr>
          <w:p>
            <w:r>
              <w:rPr>
                <w:b w:val="0"/>
                <w:sz w:val="17"/>
              </w:rPr>
              <w:t>Model Registry + Model Abstraction Layer (§4, §5)</w:t>
            </w:r>
          </w:p>
        </w:tc>
      </w:tr>
    </w:tbl>
    <w:p/>
    <w:p>
      <w:pPr>
        <w:shd w:val="clear" w:fill="EEF3F8"/>
        <w:pBdr>
          <w:left w:val="single" w:sz="18" w:space="8" w:color="1168BD"/>
        </w:pBdr>
        <w:ind w:left="144"/>
      </w:pPr>
      <w:r>
        <w:rPr>
          <w:sz w:val="21"/>
        </w:rPr>
      </w:r>
      <w:r>
        <w:rPr>
          <w:b/>
          <w:sz w:val="21"/>
        </w:rPr>
        <w:t>Why the multi-model decision changes G3 specifically.</w:t>
      </w:r>
      <w:r>
        <w:rPr>
          <w:sz w:val="21"/>
        </w:rPr>
        <w:t xml:space="preserve"> Supporting one model is a provenance problem; supporting three families — each with different formats, tokenizers, chat templates, quantisation schemes, and licences — is a *catalogue-and-abstraction* problem. This is why the resolution introduces the Model Abstraction Layer, which did not exist in the original Mimir SAD. </w:t>
      </w:r>
      <w:r>
        <w:rPr>
          <w:rFonts w:ascii="Consolas" w:hAnsi="Consolas"/>
          <w:color w:val="0B4884"/>
          <w:sz w:val="18"/>
        </w:rPr>
        <w:t>[DD-4]</w:t>
      </w:r>
      <w:r>
        <w:rPr>
          <w:sz w:val="21"/>
        </w:rPr>
      </w:r>
    </w:p>
    <w:p>
      <w:pPr>
        <w:pStyle w:val="Heading1"/>
      </w:pPr>
      <w:r>
        <w:t>3. Air-Gap Model Supply Chain</w:t>
      </w:r>
    </w:p>
    <w:p>
      <w:r>
        <w:rPr>
          <w:sz w:val="21"/>
        </w:rPr>
        <w:t>The core mechanism is a two-stage supply chain with cryptographic custody transfer. The enclosure never trusts an upstream source directly; it trusts only Akuma's signing root, which it already trusts for every Bifrost artefact. Acquisition thus collapses into the same trust model as a software release.</w:t>
      </w:r>
    </w:p>
    <w:p>
      <w:pPr>
        <w:jc w:val="center"/>
      </w:pPr>
      <w:r>
        <w:drawing>
          <wp:inline xmlns:a="http://schemas.openxmlformats.org/drawingml/2006/main" xmlns:pic="http://schemas.openxmlformats.org/drawingml/2006/picture">
            <wp:extent cx="6035040" cy="808264"/>
            <wp:docPr id="1" name="Picture 1"/>
            <wp:cNvGraphicFramePr>
              <a:graphicFrameLocks noChangeAspect="1"/>
            </wp:cNvGraphicFramePr>
            <a:graphic>
              <a:graphicData uri="http://schemas.openxmlformats.org/drawingml/2006/picture">
                <pic:pic>
                  <pic:nvPicPr>
                    <pic:cNvPr id="0" name="mimir_model_supply.png"/>
                    <pic:cNvPicPr/>
                  </pic:nvPicPr>
                  <pic:blipFill>
                    <a:blip r:embed="rId9"/>
                    <a:stretch>
                      <a:fillRect/>
                    </a:stretch>
                  </pic:blipFill>
                  <pic:spPr>
                    <a:xfrm>
                      <a:off x="0" y="0"/>
                      <a:ext cx="6035040" cy="808264"/>
                    </a:xfrm>
                    <a:prstGeom prst="rect"/>
                  </pic:spPr>
                </pic:pic>
              </a:graphicData>
            </a:graphic>
          </wp:inline>
        </w:drawing>
      </w:r>
    </w:p>
    <w:p>
      <w:pPr>
        <w:jc w:val="center"/>
      </w:pPr>
      <w:r>
        <w:rPr>
          <w:i/>
          <w:color w:val="595959"/>
          <w:sz w:val="17"/>
        </w:rPr>
        <w:t>Figure 3.1 — Two-stage air-gap model supply chain with custody transfer under Akuma ML-DSA re-signing.</w:t>
      </w:r>
    </w:p>
    <w:p/>
    <w:p>
      <w:pPr>
        <w:pStyle w:val="Heading2"/>
      </w:pPr>
      <w:r>
        <w:t>3.1 Stage 1 — Staging enclave (network-connected, controlled)</w:t>
      </w:r>
    </w:p>
    <w:p>
      <w:pPr>
        <w:pStyle w:val="ListNumber"/>
      </w:pPr>
      <w:r>
        <w:rPr>
          <w:sz w:val="21"/>
        </w:rPr>
      </w:r>
      <w:r>
        <w:rPr>
          <w:b/>
          <w:sz w:val="21"/>
        </w:rPr>
        <w:t>Fetch</w:t>
      </w:r>
      <w:r>
        <w:rPr>
          <w:sz w:val="21"/>
        </w:rPr>
        <w:t xml:space="preserve"> the target variant from upstream (Hugging Face, NVIDIA NGC, vendor CDN). </w:t>
      </w:r>
      <w:r>
        <w:rPr>
          <w:rFonts w:ascii="Consolas" w:hAnsi="Consolas"/>
          <w:color w:val="0B4884"/>
          <w:sz w:val="18"/>
        </w:rPr>
        <w:t>[FR-MS-1]</w:t>
      </w:r>
      <w:r>
        <w:rPr>
          <w:sz w:val="21"/>
        </w:rPr>
      </w:r>
    </w:p>
    <w:p>
      <w:pPr>
        <w:pStyle w:val="ListNumber"/>
      </w:pPr>
      <w:r>
        <w:rPr>
          <w:sz w:val="21"/>
        </w:rPr>
      </w:r>
      <w:r>
        <w:rPr>
          <w:b/>
          <w:sz w:val="21"/>
        </w:rPr>
        <w:t>Verify native provenance</w:t>
      </w:r>
      <w:r>
        <w:rPr>
          <w:sz w:val="21"/>
        </w:rPr>
        <w:t xml:space="preserve"> where it exists: vendor GPG signatures, Hugging Face commit hashes, published SHA-256 digests. Record what was and was not verifiable. </w:t>
      </w:r>
      <w:r>
        <w:rPr>
          <w:rFonts w:ascii="Consolas" w:hAnsi="Consolas"/>
          <w:color w:val="0B4884"/>
          <w:sz w:val="18"/>
        </w:rPr>
        <w:t>[FR-MS-2]</w:t>
      </w:r>
      <w:r>
        <w:rPr>
          <w:sz w:val="21"/>
        </w:rPr>
        <w:t xml:space="preserve"> </w:t>
      </w:r>
      <w:r>
        <w:rPr>
          <w:rFonts w:ascii="Consolas" w:hAnsi="Consolas"/>
          <w:color w:val="0B4884"/>
          <w:sz w:val="18"/>
        </w:rPr>
        <w:t>[STD:NIST SA-12]</w:t>
      </w:r>
      <w:r>
        <w:rPr>
          <w:sz w:val="21"/>
        </w:rPr>
      </w:r>
    </w:p>
    <w:p>
      <w:pPr>
        <w:pStyle w:val="ListNumber"/>
      </w:pPr>
      <w:r>
        <w:rPr>
          <w:sz w:val="21"/>
        </w:rPr>
      </w:r>
      <w:r>
        <w:rPr>
          <w:b/>
          <w:sz w:val="21"/>
        </w:rPr>
        <w:t>Capture licence</w:t>
      </w:r>
      <w:r>
        <w:rPr>
          <w:sz w:val="21"/>
        </w:rPr>
        <w:t xml:space="preserve"> and run the licence-policy check (see §6); block artefacts whose terms are incompatible with the intended deployment. </w:t>
      </w:r>
      <w:r>
        <w:rPr>
          <w:rFonts w:ascii="Consolas" w:hAnsi="Consolas"/>
          <w:color w:val="0B4884"/>
          <w:sz w:val="18"/>
        </w:rPr>
        <w:t>[FR-MS-6]</w:t>
      </w:r>
      <w:r>
        <w:rPr>
          <w:sz w:val="21"/>
        </w:rPr>
      </w:r>
    </w:p>
    <w:p>
      <w:pPr>
        <w:pStyle w:val="ListNumber"/>
      </w:pPr>
      <w:r>
        <w:rPr>
          <w:sz w:val="21"/>
        </w:rPr>
      </w:r>
      <w:r>
        <w:rPr>
          <w:b/>
          <w:sz w:val="21"/>
        </w:rPr>
        <w:t>Generate a model SBOM</w:t>
      </w:r>
      <w:r>
        <w:rPr>
          <w:sz w:val="21"/>
        </w:rPr>
        <w:t xml:space="preserve"> (CycloneDX) describing weights, tokenizer, config, and declared lineage. </w:t>
      </w:r>
      <w:r>
        <w:rPr>
          <w:rFonts w:ascii="Consolas" w:hAnsi="Consolas"/>
          <w:color w:val="0B4884"/>
          <w:sz w:val="18"/>
        </w:rPr>
        <w:t>[NFR-OSS-1]</w:t>
      </w:r>
      <w:r>
        <w:rPr>
          <w:sz w:val="21"/>
        </w:rPr>
      </w:r>
    </w:p>
    <w:p>
      <w:pPr>
        <w:pStyle w:val="ListNumber"/>
      </w:pPr>
      <w:r>
        <w:rPr>
          <w:sz w:val="21"/>
        </w:rPr>
      </w:r>
      <w:r>
        <w:rPr>
          <w:b/>
          <w:sz w:val="21"/>
        </w:rPr>
        <w:t>Run baseline Evals</w:t>
      </w:r>
      <w:r>
        <w:rPr>
          <w:sz w:val="21"/>
        </w:rPr>
        <w:t xml:space="preserve"> and record a </w:t>
      </w:r>
      <w:r>
        <w:rPr>
          <w:b/>
          <w:sz w:val="21"/>
        </w:rPr>
        <w:t>hardware fingerprint</w:t>
      </w:r>
      <w:r>
        <w:rPr>
          <w:sz w:val="21"/>
        </w:rPr>
        <w:t xml:space="preserve"> (min VRAM, GPU count, multi-node flag). </w:t>
      </w:r>
      <w:r>
        <w:rPr>
          <w:rFonts w:ascii="Consolas" w:hAnsi="Consolas"/>
          <w:color w:val="0B4884"/>
          <w:sz w:val="18"/>
        </w:rPr>
        <w:t>[FR-MS-5]</w:t>
      </w:r>
      <w:r>
        <w:rPr>
          <w:sz w:val="21"/>
        </w:rPr>
      </w:r>
    </w:p>
    <w:p>
      <w:pPr>
        <w:pStyle w:val="ListNumber"/>
      </w:pPr>
      <w:r>
        <w:rPr>
          <w:sz w:val="21"/>
        </w:rPr>
      </w:r>
      <w:r>
        <w:rPr>
          <w:b/>
          <w:sz w:val="21"/>
        </w:rPr>
        <w:t>Re-sign</w:t>
      </w:r>
      <w:r>
        <w:rPr>
          <w:sz w:val="21"/>
        </w:rPr>
        <w:t xml:space="preserve"> the assembled bundle under Akuma's ML-DSA (FIPS 204) signing key — the custody-transfer step. </w:t>
      </w:r>
      <w:r>
        <w:rPr>
          <w:rFonts w:ascii="Consolas" w:hAnsi="Consolas"/>
          <w:color w:val="0B4884"/>
          <w:sz w:val="18"/>
        </w:rPr>
        <w:t>[NFR-PQ-3]</w:t>
      </w:r>
      <w:r>
        <w:rPr>
          <w:sz w:val="21"/>
        </w:rPr>
      </w:r>
    </w:p>
    <w:p>
      <w:pPr>
        <w:pStyle w:val="Heading2"/>
      </w:pPr>
      <w:r>
        <w:t>3.2 Stage 2 — Enclosure import (air-gapped)</w:t>
      </w:r>
    </w:p>
    <w:p>
      <w:pPr>
        <w:pStyle w:val="ListNumber"/>
      </w:pPr>
      <w:r>
        <w:rPr>
          <w:sz w:val="21"/>
        </w:rPr>
        <w:t xml:space="preserve">The signed </w:t>
      </w:r>
      <w:r>
        <w:rPr>
          <w:rFonts w:ascii="Consolas" w:hAnsi="Consolas"/>
          <w:color w:val="0B4884"/>
          <w:sz w:val="18"/>
        </w:rPr>
        <w:t>model.mbundle</w:t>
      </w:r>
      <w:r>
        <w:rPr>
          <w:sz w:val="21"/>
        </w:rPr>
        <w:t xml:space="preserve"> (weights + manifest + SBOM + ML-DSA signature) crosses the air gap via </w:t>
      </w:r>
      <w:r>
        <w:rPr>
          <w:b/>
          <w:sz w:val="21"/>
        </w:rPr>
        <w:t>Bifrost's existing signed-offline-bundle workflow</w:t>
      </w:r>
      <w:r>
        <w:rPr>
          <w:sz w:val="21"/>
        </w:rPr>
        <w:t xml:space="preserve"> — no new transport is invented. </w:t>
      </w:r>
      <w:r>
        <w:rPr>
          <w:rFonts w:ascii="Consolas" w:hAnsi="Consolas"/>
          <w:color w:val="0B4884"/>
          <w:sz w:val="18"/>
        </w:rPr>
        <w:t>[FR-B-5]</w:t>
      </w:r>
      <w:r>
        <w:rPr>
          <w:sz w:val="21"/>
        </w:rPr>
      </w:r>
    </w:p>
    <w:p>
      <w:pPr>
        <w:pStyle w:val="ListNumber"/>
      </w:pPr>
      <w:r>
        <w:rPr>
          <w:sz w:val="21"/>
        </w:rPr>
        <w:t xml:space="preserve">Bifrost </w:t>
      </w:r>
      <w:r>
        <w:rPr>
          <w:b/>
          <w:sz w:val="21"/>
        </w:rPr>
        <w:t>verifies the Akuma signature</w:t>
      </w:r>
      <w:r>
        <w:rPr>
          <w:sz w:val="21"/>
        </w:rPr>
        <w:t xml:space="preserve"> on import and rejects any bundle that fails (fail closed). </w:t>
      </w:r>
      <w:r>
        <w:rPr>
          <w:rFonts w:ascii="Consolas" w:hAnsi="Consolas"/>
          <w:color w:val="0B4884"/>
          <w:sz w:val="18"/>
        </w:rPr>
        <w:t>[FR-B-4]</w:t>
      </w:r>
      <w:r>
        <w:rPr>
          <w:sz w:val="21"/>
        </w:rPr>
        <w:t xml:space="preserve"> </w:t>
      </w:r>
      <w:r>
        <w:rPr>
          <w:rFonts w:ascii="Consolas" w:hAnsi="Consolas"/>
          <w:color w:val="0B4884"/>
          <w:sz w:val="18"/>
        </w:rPr>
        <w:t>[NFR-PQ-3]</w:t>
      </w:r>
      <w:r>
        <w:rPr>
          <w:sz w:val="21"/>
        </w:rPr>
      </w:r>
    </w:p>
    <w:p>
      <w:pPr>
        <w:pStyle w:val="ListNumber"/>
      </w:pPr>
      <w:r>
        <w:rPr>
          <w:sz w:val="21"/>
        </w:rPr>
        <w:t xml:space="preserve">The verified artefact is registered in the </w:t>
      </w:r>
      <w:r>
        <w:rPr>
          <w:b/>
          <w:sz w:val="21"/>
        </w:rPr>
        <w:t>Model Registry</w:t>
      </w:r>
      <w:r>
        <w:rPr>
          <w:sz w:val="21"/>
        </w:rPr>
        <w:t xml:space="preserve"> with status </w:t>
      </w:r>
      <w:r>
        <w:rPr>
          <w:rFonts w:ascii="Consolas" w:hAnsi="Consolas"/>
          <w:color w:val="0B4884"/>
          <w:sz w:val="18"/>
        </w:rPr>
        <w:t>approved</w:t>
      </w:r>
      <w:r>
        <w:rPr>
          <w:sz w:val="21"/>
        </w:rPr>
        <w:t xml:space="preserve">. </w:t>
      </w:r>
      <w:r>
        <w:rPr>
          <w:rFonts w:ascii="Consolas" w:hAnsi="Consolas"/>
          <w:color w:val="0B4884"/>
          <w:sz w:val="18"/>
        </w:rPr>
        <w:t>[FR-MS-3]</w:t>
      </w:r>
      <w:r>
        <w:rPr>
          <w:sz w:val="21"/>
        </w:rPr>
      </w:r>
    </w:p>
    <w:p>
      <w:pPr>
        <w:pStyle w:val="ListNumber"/>
      </w:pPr>
      <w:r>
        <w:rPr>
          <w:sz w:val="21"/>
        </w:rPr>
        <w:t xml:space="preserve">The </w:t>
      </w:r>
      <w:r>
        <w:rPr>
          <w:b/>
          <w:sz w:val="21"/>
        </w:rPr>
        <w:t>inference runtime verifies the signature again on load</w:t>
      </w:r>
      <w:r>
        <w:rPr>
          <w:sz w:val="21"/>
        </w:rPr>
        <w:t xml:space="preserve"> and refuses to place unverified or hardware-ineligible weights into GPU memory. </w:t>
      </w:r>
      <w:r>
        <w:rPr>
          <w:rFonts w:ascii="Consolas" w:hAnsi="Consolas"/>
          <w:color w:val="0B4884"/>
          <w:sz w:val="18"/>
        </w:rPr>
        <w:t>[FR-MS-4]</w:t>
      </w:r>
      <w:r>
        <w:rPr>
          <w:sz w:val="21"/>
        </w:rPr>
      </w:r>
    </w:p>
    <w:p>
      <w:pPr>
        <w:shd w:val="clear" w:fill="EEF3F8"/>
        <w:pBdr>
          <w:left w:val="single" w:sz="18" w:space="8" w:color="1E7A46"/>
        </w:pBdr>
        <w:ind w:left="144"/>
      </w:pPr>
      <w:r>
        <w:rPr>
          <w:sz w:val="21"/>
        </w:rPr>
      </w:r>
      <w:r>
        <w:rPr>
          <w:b/>
          <w:sz w:val="21"/>
        </w:rPr>
        <w:t>The load-time invariant that closes the gap.</w:t>
      </w:r>
      <w:r>
        <w:rPr>
          <w:sz w:val="21"/>
        </w:rPr>
        <w:t xml:space="preserve"> A model that is not in the registry, whose ML-DSA signature does not verify, whose licence gate is unmet, or whose hardware profile the node cannot satisfy, *cannot be loaded*. This single, testable invariant is what converts the finding from open to closed. </w:t>
      </w:r>
      <w:r>
        <w:rPr>
          <w:rFonts w:ascii="Consolas" w:hAnsi="Consolas"/>
          <w:color w:val="0B4884"/>
          <w:sz w:val="18"/>
        </w:rPr>
        <w:t>[FR-MS-4]</w:t>
      </w:r>
      <w:r>
        <w:rPr>
          <w:sz w:val="21"/>
        </w:rPr>
      </w:r>
    </w:p>
    <w:p>
      <w:pPr>
        <w:pStyle w:val="Heading1"/>
      </w:pPr>
      <w:r>
        <w:t>4. Model Registry &amp; Provenance Subsystem</w:t>
      </w:r>
    </w:p>
    <w:p>
      <w:r>
        <w:rPr>
          <w:sz w:val="21"/>
        </w:rPr>
        <w:t>The Model Registry is the in-enclosure system of record for every model the platform may load. It is the durable answer to provenance (G2) and the foundation of lifecycle management (G3).</w:t>
      </w:r>
    </w:p>
    <w:p>
      <w:pPr>
        <w:jc w:val="center"/>
      </w:pPr>
      <w:r>
        <w:drawing>
          <wp:inline xmlns:a="http://schemas.openxmlformats.org/drawingml/2006/main" xmlns:pic="http://schemas.openxmlformats.org/drawingml/2006/picture">
            <wp:extent cx="6035040" cy="4256859"/>
            <wp:docPr id="2" name="Picture 2"/>
            <wp:cNvGraphicFramePr>
              <a:graphicFrameLocks noChangeAspect="1"/>
            </wp:cNvGraphicFramePr>
            <a:graphic>
              <a:graphicData uri="http://schemas.openxmlformats.org/drawingml/2006/picture">
                <pic:pic>
                  <pic:nvPicPr>
                    <pic:cNvPr id="0" name="mimir_model_registry_er.png"/>
                    <pic:cNvPicPr/>
                  </pic:nvPicPr>
                  <pic:blipFill>
                    <a:blip r:embed="rId10"/>
                    <a:stretch>
                      <a:fillRect/>
                    </a:stretch>
                  </pic:blipFill>
                  <pic:spPr>
                    <a:xfrm>
                      <a:off x="0" y="0"/>
                      <a:ext cx="6035040" cy="4256859"/>
                    </a:xfrm>
                    <a:prstGeom prst="rect"/>
                  </pic:spPr>
                </pic:pic>
              </a:graphicData>
            </a:graphic>
          </wp:inline>
        </w:drawing>
      </w:r>
    </w:p>
    <w:p>
      <w:pPr>
        <w:jc w:val="center"/>
      </w:pPr>
      <w:r>
        <w:rPr>
          <w:i/>
          <w:color w:val="595959"/>
          <w:sz w:val="17"/>
        </w:rPr>
        <w:t>Figure 4.1 — Model Registry data model.</w:t>
      </w:r>
    </w:p>
    <w:p/>
    <w:p>
      <w:pPr>
        <w:pStyle w:val="Heading2"/>
      </w:pPr>
      <w:r>
        <w:t>4.1 Entity catalogue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Entity</w:t>
            </w:r>
          </w:p>
        </w:tc>
        <w:tc>
          <w:tcPr>
            <w:tcW w:type="dxa" w:w="3264"/>
            <w:shd w:val="clear" w:fill="0B4884"/>
            <w:tcMar>
              <w:top w:w="60" w:type="dxa"/>
              <w:bottom w:w="60" w:type="dxa"/>
              <w:start w:w="90" w:type="dxa"/>
              <w:end w:w="90" w:type="dxa"/>
            </w:tcMar>
          </w:tcPr>
          <w:p>
            <w:r>
              <w:rPr>
                <w:b/>
                <w:color w:val="FFFFFF"/>
                <w:sz w:val="18"/>
              </w:rPr>
              <w:t>Purpose</w:t>
            </w:r>
          </w:p>
        </w:tc>
        <w:tc>
          <w:tcPr>
            <w:tcW w:type="dxa" w:w="3264"/>
            <w:shd w:val="clear" w:fill="0B4884"/>
            <w:tcMar>
              <w:top w:w="60" w:type="dxa"/>
              <w:bottom w:w="60" w:type="dxa"/>
              <w:start w:w="90" w:type="dxa"/>
              <w:end w:w="90" w:type="dxa"/>
            </w:tcMar>
          </w:tcPr>
          <w:p>
            <w:r>
              <w:rPr>
                <w:b/>
                <w:color w:val="FFFFFF"/>
                <w:sz w:val="18"/>
              </w:rPr>
              <w:t>Key attributes</w:t>
            </w:r>
          </w:p>
        </w:tc>
      </w:tr>
      <w:tr>
        <w:tc>
          <w:tcPr>
            <w:tcW w:type="dxa" w:w="3264"/>
            <w:tcMar>
              <w:top w:w="60" w:type="dxa"/>
              <w:bottom w:w="60" w:type="dxa"/>
              <w:start w:w="90" w:type="dxa"/>
              <w:end w:w="90" w:type="dxa"/>
            </w:tcMar>
            <w:shd w:val="clear" w:fill="FFFFFF"/>
          </w:tcPr>
          <w:p>
            <w:r>
              <w:rPr>
                <w:b w:val="0"/>
                <w:sz w:val="17"/>
              </w:rPr>
              <w:t>ModelFamily</w:t>
            </w:r>
          </w:p>
        </w:tc>
        <w:tc>
          <w:tcPr>
            <w:tcW w:type="dxa" w:w="3264"/>
            <w:tcMar>
              <w:top w:w="60" w:type="dxa"/>
              <w:bottom w:w="60" w:type="dxa"/>
              <w:start w:w="90" w:type="dxa"/>
              <w:end w:w="90" w:type="dxa"/>
            </w:tcMar>
            <w:shd w:val="clear" w:fill="FFFFFF"/>
          </w:tcPr>
          <w:p>
            <w:r>
              <w:rPr>
                <w:b w:val="0"/>
                <w:sz w:val="17"/>
              </w:rPr>
              <w:t>One of the supported families</w:t>
            </w:r>
          </w:p>
        </w:tc>
        <w:tc>
          <w:tcPr>
            <w:tcW w:type="dxa" w:w="3264"/>
            <w:tcMar>
              <w:top w:w="60" w:type="dxa"/>
              <w:bottom w:w="60" w:type="dxa"/>
              <w:start w:w="90" w:type="dxa"/>
              <w:end w:w="90" w:type="dxa"/>
            </w:tcMar>
            <w:shd w:val="clear" w:fill="FFFFFF"/>
          </w:tcPr>
          <w:p>
            <w:r>
              <w:rPr>
                <w:b w:val="0"/>
                <w:sz w:val="17"/>
              </w:rPr>
              <w:t>id, name (GLM|Nemotron|Gemma), steward</w:t>
            </w:r>
          </w:p>
        </w:tc>
      </w:tr>
      <w:tr>
        <w:tc>
          <w:tcPr>
            <w:tcW w:type="dxa" w:w="3264"/>
            <w:tcMar>
              <w:top w:w="60" w:type="dxa"/>
              <w:bottom w:w="60" w:type="dxa"/>
              <w:start w:w="90" w:type="dxa"/>
              <w:end w:w="90" w:type="dxa"/>
            </w:tcMar>
            <w:shd w:val="clear" w:fill="EEF3F8"/>
          </w:tcPr>
          <w:p>
            <w:r>
              <w:rPr>
                <w:b w:val="0"/>
                <w:sz w:val="17"/>
              </w:rPr>
              <w:t>ModelVariant</w:t>
            </w:r>
          </w:p>
        </w:tc>
        <w:tc>
          <w:tcPr>
            <w:tcW w:type="dxa" w:w="3264"/>
            <w:tcMar>
              <w:top w:w="60" w:type="dxa"/>
              <w:bottom w:w="60" w:type="dxa"/>
              <w:start w:w="90" w:type="dxa"/>
              <w:end w:w="90" w:type="dxa"/>
            </w:tcMar>
            <w:shd w:val="clear" w:fill="EEF3F8"/>
          </w:tcPr>
          <w:p>
            <w:r>
              <w:rPr>
                <w:b w:val="0"/>
                <w:sz w:val="17"/>
              </w:rPr>
              <w:t>A specific variant within a family</w:t>
            </w:r>
          </w:p>
        </w:tc>
        <w:tc>
          <w:tcPr>
            <w:tcW w:type="dxa" w:w="3264"/>
            <w:tcMar>
              <w:top w:w="60" w:type="dxa"/>
              <w:bottom w:w="60" w:type="dxa"/>
              <w:start w:w="90" w:type="dxa"/>
              <w:end w:w="90" w:type="dxa"/>
            </w:tcMar>
            <w:shd w:val="clear" w:fill="EEF3F8"/>
          </w:tcPr>
          <w:p>
            <w:r>
              <w:rPr>
                <w:b w:val="0"/>
                <w:sz w:val="17"/>
              </w:rPr>
              <w:t>id, family_id, label, modality</w:t>
            </w:r>
          </w:p>
        </w:tc>
      </w:tr>
      <w:tr>
        <w:tc>
          <w:tcPr>
            <w:tcW w:type="dxa" w:w="3264"/>
            <w:tcMar>
              <w:top w:w="60" w:type="dxa"/>
              <w:bottom w:w="60" w:type="dxa"/>
              <w:start w:w="90" w:type="dxa"/>
              <w:end w:w="90" w:type="dxa"/>
            </w:tcMar>
            <w:shd w:val="clear" w:fill="FFFFFF"/>
          </w:tcPr>
          <w:p>
            <w:r>
              <w:rPr>
                <w:b w:val="0"/>
                <w:sz w:val="17"/>
              </w:rPr>
              <w:t>ModelArtefact</w:t>
            </w:r>
          </w:p>
        </w:tc>
        <w:tc>
          <w:tcPr>
            <w:tcW w:type="dxa" w:w="3264"/>
            <w:tcMar>
              <w:top w:w="60" w:type="dxa"/>
              <w:bottom w:w="60" w:type="dxa"/>
              <w:start w:w="90" w:type="dxa"/>
              <w:end w:w="90" w:type="dxa"/>
            </w:tcMar>
            <w:shd w:val="clear" w:fill="FFFFFF"/>
          </w:tcPr>
          <w:p>
            <w:r>
              <w:rPr>
                <w:b w:val="0"/>
                <w:sz w:val="17"/>
              </w:rPr>
              <w:t>A packaged, signed, loadable build</w:t>
            </w:r>
          </w:p>
        </w:tc>
        <w:tc>
          <w:tcPr>
            <w:tcW w:type="dxa" w:w="3264"/>
            <w:tcMar>
              <w:top w:w="60" w:type="dxa"/>
              <w:bottom w:w="60" w:type="dxa"/>
              <w:start w:w="90" w:type="dxa"/>
              <w:end w:w="90" w:type="dxa"/>
            </w:tcMar>
            <w:shd w:val="clear" w:fill="FFFFFF"/>
          </w:tcPr>
          <w:p>
            <w:r>
              <w:rPr>
                <w:b w:val="0"/>
                <w:sz w:val="17"/>
              </w:rPr>
              <w:t>id, version, quantisation, tokenizer_ref, sha256, mldsa_signature, sbom_ref, status</w:t>
            </w:r>
          </w:p>
        </w:tc>
      </w:tr>
      <w:tr>
        <w:tc>
          <w:tcPr>
            <w:tcW w:type="dxa" w:w="3264"/>
            <w:tcMar>
              <w:top w:w="60" w:type="dxa"/>
              <w:bottom w:w="60" w:type="dxa"/>
              <w:start w:w="90" w:type="dxa"/>
              <w:end w:w="90" w:type="dxa"/>
            </w:tcMar>
            <w:shd w:val="clear" w:fill="EEF3F8"/>
          </w:tcPr>
          <w:p>
            <w:r>
              <w:rPr>
                <w:b w:val="0"/>
                <w:sz w:val="17"/>
              </w:rPr>
              <w:t>Provenance</w:t>
            </w:r>
          </w:p>
        </w:tc>
        <w:tc>
          <w:tcPr>
            <w:tcW w:type="dxa" w:w="3264"/>
            <w:tcMar>
              <w:top w:w="60" w:type="dxa"/>
              <w:bottom w:w="60" w:type="dxa"/>
              <w:start w:w="90" w:type="dxa"/>
              <w:end w:w="90" w:type="dxa"/>
            </w:tcMar>
            <w:shd w:val="clear" w:fill="EEF3F8"/>
          </w:tcPr>
          <w:p>
            <w:r>
              <w:rPr>
                <w:b w:val="0"/>
                <w:sz w:val="17"/>
              </w:rPr>
              <w:t>How the artefact was obtained/verified</w:t>
            </w:r>
          </w:p>
        </w:tc>
        <w:tc>
          <w:tcPr>
            <w:tcW w:type="dxa" w:w="3264"/>
            <w:tcMar>
              <w:top w:w="60" w:type="dxa"/>
              <w:bottom w:w="60" w:type="dxa"/>
              <w:start w:w="90" w:type="dxa"/>
              <w:end w:w="90" w:type="dxa"/>
            </w:tcMar>
            <w:shd w:val="clear" w:fill="EEF3F8"/>
          </w:tcPr>
          <w:p>
            <w:r>
              <w:rPr>
                <w:b w:val="0"/>
                <w:sz w:val="17"/>
              </w:rPr>
              <w:t>upstream_source, native_sig, staged_by, staged_at</w:t>
            </w:r>
          </w:p>
        </w:tc>
      </w:tr>
      <w:tr>
        <w:tc>
          <w:tcPr>
            <w:tcW w:type="dxa" w:w="3264"/>
            <w:tcMar>
              <w:top w:w="60" w:type="dxa"/>
              <w:bottom w:w="60" w:type="dxa"/>
              <w:start w:w="90" w:type="dxa"/>
              <w:end w:w="90" w:type="dxa"/>
            </w:tcMar>
            <w:shd w:val="clear" w:fill="FFFFFF"/>
          </w:tcPr>
          <w:p>
            <w:r>
              <w:rPr>
                <w:b w:val="0"/>
                <w:sz w:val="17"/>
              </w:rPr>
              <w:t>Licence</w:t>
            </w:r>
          </w:p>
        </w:tc>
        <w:tc>
          <w:tcPr>
            <w:tcW w:type="dxa" w:w="3264"/>
            <w:tcMar>
              <w:top w:w="60" w:type="dxa"/>
              <w:bottom w:w="60" w:type="dxa"/>
              <w:start w:w="90" w:type="dxa"/>
              <w:end w:w="90" w:type="dxa"/>
            </w:tcMar>
            <w:shd w:val="clear" w:fill="FFFFFF"/>
          </w:tcPr>
          <w:p>
            <w:r>
              <w:rPr>
                <w:b w:val="0"/>
                <w:sz w:val="17"/>
              </w:rPr>
              <w:t>Governing licence + restrictions</w:t>
            </w:r>
          </w:p>
        </w:tc>
        <w:tc>
          <w:tcPr>
            <w:tcW w:type="dxa" w:w="3264"/>
            <w:tcMar>
              <w:top w:w="60" w:type="dxa"/>
              <w:bottom w:w="60" w:type="dxa"/>
              <w:start w:w="90" w:type="dxa"/>
              <w:end w:w="90" w:type="dxa"/>
            </w:tcMar>
            <w:shd w:val="clear" w:fill="FFFFFF"/>
          </w:tcPr>
          <w:p>
            <w:r>
              <w:rPr>
                <w:b w:val="0"/>
                <w:sz w:val="17"/>
              </w:rPr>
              <w:t>spdx_or_name, osi_approved, use_restrictions, redistribution_ok</w:t>
            </w:r>
          </w:p>
        </w:tc>
      </w:tr>
      <w:tr>
        <w:tc>
          <w:tcPr>
            <w:tcW w:type="dxa" w:w="3264"/>
            <w:tcMar>
              <w:top w:w="60" w:type="dxa"/>
              <w:bottom w:w="60" w:type="dxa"/>
              <w:start w:w="90" w:type="dxa"/>
              <w:end w:w="90" w:type="dxa"/>
            </w:tcMar>
            <w:shd w:val="clear" w:fill="EEF3F8"/>
          </w:tcPr>
          <w:p>
            <w:r>
              <w:rPr>
                <w:b w:val="0"/>
                <w:sz w:val="17"/>
              </w:rPr>
              <w:t>EvalScore</w:t>
            </w:r>
          </w:p>
        </w:tc>
        <w:tc>
          <w:tcPr>
            <w:tcW w:type="dxa" w:w="3264"/>
            <w:tcMar>
              <w:top w:w="60" w:type="dxa"/>
              <w:bottom w:w="60" w:type="dxa"/>
              <w:start w:w="90" w:type="dxa"/>
              <w:end w:w="90" w:type="dxa"/>
            </w:tcMar>
            <w:shd w:val="clear" w:fill="EEF3F8"/>
          </w:tcPr>
          <w:p>
            <w:r>
              <w:rPr>
                <w:b w:val="0"/>
                <w:sz w:val="17"/>
              </w:rPr>
              <w:t>Baseline/ongoing eval result</w:t>
            </w:r>
          </w:p>
        </w:tc>
        <w:tc>
          <w:tcPr>
            <w:tcW w:type="dxa" w:w="3264"/>
            <w:tcMar>
              <w:top w:w="60" w:type="dxa"/>
              <w:bottom w:w="60" w:type="dxa"/>
              <w:start w:w="90" w:type="dxa"/>
              <w:end w:w="90" w:type="dxa"/>
            </w:tcMar>
            <w:shd w:val="clear" w:fill="EEF3F8"/>
          </w:tcPr>
          <w:p>
            <w:r>
              <w:rPr>
                <w:b w:val="0"/>
                <w:sz w:val="17"/>
              </w:rPr>
              <w:t>suite, score, run_at</w:t>
            </w:r>
          </w:p>
        </w:tc>
      </w:tr>
      <w:tr>
        <w:tc>
          <w:tcPr>
            <w:tcW w:type="dxa" w:w="3264"/>
            <w:tcMar>
              <w:top w:w="60" w:type="dxa"/>
              <w:bottom w:w="60" w:type="dxa"/>
              <w:start w:w="90" w:type="dxa"/>
              <w:end w:w="90" w:type="dxa"/>
            </w:tcMar>
            <w:shd w:val="clear" w:fill="FFFFFF"/>
          </w:tcPr>
          <w:p>
            <w:r>
              <w:rPr>
                <w:b w:val="0"/>
                <w:sz w:val="17"/>
              </w:rPr>
              <w:t>HwProfile</w:t>
            </w:r>
          </w:p>
        </w:tc>
        <w:tc>
          <w:tcPr>
            <w:tcW w:type="dxa" w:w="3264"/>
            <w:tcMar>
              <w:top w:w="60" w:type="dxa"/>
              <w:bottom w:w="60" w:type="dxa"/>
              <w:start w:w="90" w:type="dxa"/>
              <w:end w:w="90" w:type="dxa"/>
            </w:tcMar>
            <w:shd w:val="clear" w:fill="FFFFFF"/>
          </w:tcPr>
          <w:p>
            <w:r>
              <w:rPr>
                <w:b w:val="0"/>
                <w:sz w:val="17"/>
              </w:rPr>
              <w:t>Hardware eligibility</w:t>
            </w:r>
          </w:p>
        </w:tc>
        <w:tc>
          <w:tcPr>
            <w:tcW w:type="dxa" w:w="3264"/>
            <w:tcMar>
              <w:top w:w="60" w:type="dxa"/>
              <w:bottom w:w="60" w:type="dxa"/>
              <w:start w:w="90" w:type="dxa"/>
              <w:end w:w="90" w:type="dxa"/>
            </w:tcMar>
            <w:shd w:val="clear" w:fill="FFFFFF"/>
          </w:tcPr>
          <w:p>
            <w:r>
              <w:rPr>
                <w:b w:val="0"/>
                <w:sz w:val="17"/>
              </w:rPr>
              <w:t>min_vram_gb, min_gpus, multinode</w:t>
            </w:r>
          </w:p>
        </w:tc>
      </w:tr>
      <w:tr>
        <w:tc>
          <w:tcPr>
            <w:tcW w:type="dxa" w:w="3264"/>
            <w:tcMar>
              <w:top w:w="60" w:type="dxa"/>
              <w:bottom w:w="60" w:type="dxa"/>
              <w:start w:w="90" w:type="dxa"/>
              <w:end w:w="90" w:type="dxa"/>
            </w:tcMar>
            <w:shd w:val="clear" w:fill="EEF3F8"/>
          </w:tcPr>
          <w:p>
            <w:r>
              <w:rPr>
                <w:b w:val="0"/>
                <w:sz w:val="17"/>
              </w:rPr>
              <w:t>LoadEvent</w:t>
            </w:r>
          </w:p>
        </w:tc>
        <w:tc>
          <w:tcPr>
            <w:tcW w:type="dxa" w:w="3264"/>
            <w:tcMar>
              <w:top w:w="60" w:type="dxa"/>
              <w:bottom w:w="60" w:type="dxa"/>
              <w:start w:w="90" w:type="dxa"/>
              <w:end w:w="90" w:type="dxa"/>
            </w:tcMar>
            <w:shd w:val="clear" w:fill="EEF3F8"/>
          </w:tcPr>
          <w:p>
            <w:r>
              <w:rPr>
                <w:b w:val="0"/>
                <w:sz w:val="17"/>
              </w:rPr>
              <w:t>Audited load attempt</w:t>
            </w:r>
          </w:p>
        </w:tc>
        <w:tc>
          <w:tcPr>
            <w:tcW w:type="dxa" w:w="3264"/>
            <w:tcMar>
              <w:top w:w="60" w:type="dxa"/>
              <w:bottom w:w="60" w:type="dxa"/>
              <w:start w:w="90" w:type="dxa"/>
              <w:end w:w="90" w:type="dxa"/>
            </w:tcMar>
            <w:shd w:val="clear" w:fill="EEF3F8"/>
          </w:tcPr>
          <w:p>
            <w:r>
              <w:rPr>
                <w:b w:val="0"/>
                <w:sz w:val="17"/>
              </w:rPr>
              <w:t>loaded_at, sig_verified, node</w:t>
            </w:r>
          </w:p>
        </w:tc>
      </w:tr>
    </w:tbl>
    <w:p/>
    <w:p>
      <w:pPr>
        <w:pStyle w:val="Heading2"/>
      </w:pPr>
      <w:r>
        <w:t>4.2 Artefact lifecycle states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State</w:t>
            </w:r>
          </w:p>
        </w:tc>
        <w:tc>
          <w:tcPr>
            <w:tcW w:type="dxa" w:w="3264"/>
            <w:shd w:val="clear" w:fill="0B4884"/>
            <w:tcMar>
              <w:top w:w="60" w:type="dxa"/>
              <w:bottom w:w="60" w:type="dxa"/>
              <w:start w:w="90" w:type="dxa"/>
              <w:end w:w="90" w:type="dxa"/>
            </w:tcMar>
          </w:tcPr>
          <w:p>
            <w:r>
              <w:rPr>
                <w:b/>
                <w:color w:val="FFFFFF"/>
                <w:sz w:val="18"/>
              </w:rPr>
              <w:t>Meaning</w:t>
            </w:r>
          </w:p>
        </w:tc>
        <w:tc>
          <w:tcPr>
            <w:tcW w:type="dxa" w:w="3264"/>
            <w:shd w:val="clear" w:fill="0B4884"/>
            <w:tcMar>
              <w:top w:w="60" w:type="dxa"/>
              <w:bottom w:w="60" w:type="dxa"/>
              <w:start w:w="90" w:type="dxa"/>
              <w:end w:w="90" w:type="dxa"/>
            </w:tcMar>
          </w:tcPr>
          <w:p>
            <w:r>
              <w:rPr>
                <w:b/>
                <w:color w:val="FFFFFF"/>
                <w:sz w:val="18"/>
              </w:rPr>
              <w:t>Transition</w:t>
            </w:r>
          </w:p>
        </w:tc>
      </w:tr>
      <w:tr>
        <w:tc>
          <w:tcPr>
            <w:tcW w:type="dxa" w:w="3264"/>
            <w:tcMar>
              <w:top w:w="60" w:type="dxa"/>
              <w:bottom w:w="60" w:type="dxa"/>
              <w:start w:w="90" w:type="dxa"/>
              <w:end w:w="90" w:type="dxa"/>
            </w:tcMar>
            <w:shd w:val="clear" w:fill="FFFFFF"/>
          </w:tcPr>
          <w:p>
            <w:r>
              <w:rPr>
                <w:b w:val="0"/>
                <w:sz w:val="17"/>
              </w:rPr>
              <w:t>staged</w:t>
            </w:r>
          </w:p>
        </w:tc>
        <w:tc>
          <w:tcPr>
            <w:tcW w:type="dxa" w:w="3264"/>
            <w:tcMar>
              <w:top w:w="60" w:type="dxa"/>
              <w:bottom w:w="60" w:type="dxa"/>
              <w:start w:w="90" w:type="dxa"/>
              <w:end w:w="90" w:type="dxa"/>
            </w:tcMar>
            <w:shd w:val="clear" w:fill="FFFFFF"/>
          </w:tcPr>
          <w:p>
            <w:r>
              <w:rPr>
                <w:b w:val="0"/>
                <w:sz w:val="17"/>
              </w:rPr>
              <w:t>Assembled and re-signed in staging, not yet imported</w:t>
            </w:r>
          </w:p>
        </w:tc>
        <w:tc>
          <w:tcPr>
            <w:tcW w:type="dxa" w:w="3264"/>
            <w:tcMar>
              <w:top w:w="60" w:type="dxa"/>
              <w:bottom w:w="60" w:type="dxa"/>
              <w:start w:w="90" w:type="dxa"/>
              <w:end w:w="90" w:type="dxa"/>
            </w:tcMar>
            <w:shd w:val="clear" w:fill="FFFFFF"/>
          </w:tcPr>
          <w:p>
            <w:r>
              <w:rPr>
                <w:b w:val="0"/>
                <w:sz w:val="17"/>
              </w:rPr>
              <w:t>→ approved on verified import</w:t>
            </w:r>
          </w:p>
        </w:tc>
      </w:tr>
      <w:tr>
        <w:tc>
          <w:tcPr>
            <w:tcW w:type="dxa" w:w="3264"/>
            <w:tcMar>
              <w:top w:w="60" w:type="dxa"/>
              <w:bottom w:w="60" w:type="dxa"/>
              <w:start w:w="90" w:type="dxa"/>
              <w:end w:w="90" w:type="dxa"/>
            </w:tcMar>
            <w:shd w:val="clear" w:fill="EEF3F8"/>
          </w:tcPr>
          <w:p>
            <w:r>
              <w:rPr>
                <w:b w:val="0"/>
                <w:sz w:val="17"/>
              </w:rPr>
              <w:t>approved</w:t>
            </w:r>
          </w:p>
        </w:tc>
        <w:tc>
          <w:tcPr>
            <w:tcW w:type="dxa" w:w="3264"/>
            <w:tcMar>
              <w:top w:w="60" w:type="dxa"/>
              <w:bottom w:w="60" w:type="dxa"/>
              <w:start w:w="90" w:type="dxa"/>
              <w:end w:w="90" w:type="dxa"/>
            </w:tcMar>
            <w:shd w:val="clear" w:fill="EEF3F8"/>
          </w:tcPr>
          <w:p>
            <w:r>
              <w:rPr>
                <w:b w:val="0"/>
                <w:sz w:val="17"/>
              </w:rPr>
              <w:t>Verified in-enclosure; loadable</w:t>
            </w:r>
          </w:p>
        </w:tc>
        <w:tc>
          <w:tcPr>
            <w:tcW w:type="dxa" w:w="3264"/>
            <w:tcMar>
              <w:top w:w="60" w:type="dxa"/>
              <w:bottom w:w="60" w:type="dxa"/>
              <w:start w:w="90" w:type="dxa"/>
              <w:end w:w="90" w:type="dxa"/>
            </w:tcMar>
            <w:shd w:val="clear" w:fill="EEF3F8"/>
          </w:tcPr>
          <w:p>
            <w:r>
              <w:rPr>
                <w:b w:val="0"/>
                <w:sz w:val="17"/>
              </w:rPr>
              <w:t>→ deprecated or revoked</w:t>
            </w:r>
          </w:p>
        </w:tc>
      </w:tr>
      <w:tr>
        <w:tc>
          <w:tcPr>
            <w:tcW w:type="dxa" w:w="3264"/>
            <w:tcMar>
              <w:top w:w="60" w:type="dxa"/>
              <w:bottom w:w="60" w:type="dxa"/>
              <w:start w:w="90" w:type="dxa"/>
              <w:end w:w="90" w:type="dxa"/>
            </w:tcMar>
            <w:shd w:val="clear" w:fill="FFFFFF"/>
          </w:tcPr>
          <w:p>
            <w:r>
              <w:rPr>
                <w:b w:val="0"/>
                <w:sz w:val="17"/>
              </w:rPr>
              <w:t>deprecated</w:t>
            </w:r>
          </w:p>
        </w:tc>
        <w:tc>
          <w:tcPr>
            <w:tcW w:type="dxa" w:w="3264"/>
            <w:tcMar>
              <w:top w:w="60" w:type="dxa"/>
              <w:bottom w:w="60" w:type="dxa"/>
              <w:start w:w="90" w:type="dxa"/>
              <w:end w:w="90" w:type="dxa"/>
            </w:tcMar>
            <w:shd w:val="clear" w:fill="FFFFFF"/>
          </w:tcPr>
          <w:p>
            <w:r>
              <w:rPr>
                <w:b w:val="0"/>
                <w:sz w:val="17"/>
              </w:rPr>
              <w:t>Superseded; loadable but flagged</w:t>
            </w:r>
          </w:p>
        </w:tc>
        <w:tc>
          <w:tcPr>
            <w:tcW w:type="dxa" w:w="3264"/>
            <w:tcMar>
              <w:top w:w="60" w:type="dxa"/>
              <w:bottom w:w="60" w:type="dxa"/>
              <w:start w:w="90" w:type="dxa"/>
              <w:end w:w="90" w:type="dxa"/>
            </w:tcMar>
            <w:shd w:val="clear" w:fill="FFFFFF"/>
          </w:tcPr>
          <w:p>
            <w:r>
              <w:rPr>
                <w:b w:val="0"/>
                <w:sz w:val="17"/>
              </w:rPr>
              <w:t>→ revoked</w:t>
            </w:r>
          </w:p>
        </w:tc>
      </w:tr>
      <w:tr>
        <w:tc>
          <w:tcPr>
            <w:tcW w:type="dxa" w:w="3264"/>
            <w:tcMar>
              <w:top w:w="60" w:type="dxa"/>
              <w:bottom w:w="60" w:type="dxa"/>
              <w:start w:w="90" w:type="dxa"/>
              <w:end w:w="90" w:type="dxa"/>
            </w:tcMar>
            <w:shd w:val="clear" w:fill="EEF3F8"/>
          </w:tcPr>
          <w:p>
            <w:r>
              <w:rPr>
                <w:b w:val="0"/>
                <w:sz w:val="17"/>
              </w:rPr>
              <w:t>revoked</w:t>
            </w:r>
          </w:p>
        </w:tc>
        <w:tc>
          <w:tcPr>
            <w:tcW w:type="dxa" w:w="3264"/>
            <w:tcMar>
              <w:top w:w="60" w:type="dxa"/>
              <w:bottom w:w="60" w:type="dxa"/>
              <w:start w:w="90" w:type="dxa"/>
              <w:end w:w="90" w:type="dxa"/>
            </w:tcMar>
            <w:shd w:val="clear" w:fill="EEF3F8"/>
          </w:tcPr>
          <w:p>
            <w:r>
              <w:rPr>
                <w:b w:val="0"/>
                <w:sz w:val="17"/>
              </w:rPr>
              <w:t>Withdrawn (e.g. licence/CVE/eval regression); not loadable</w:t>
            </w:r>
          </w:p>
        </w:tc>
        <w:tc>
          <w:tcPr>
            <w:tcW w:type="dxa" w:w="3264"/>
            <w:tcMar>
              <w:top w:w="60" w:type="dxa"/>
              <w:bottom w:w="60" w:type="dxa"/>
              <w:start w:w="90" w:type="dxa"/>
              <w:end w:w="90" w:type="dxa"/>
            </w:tcMar>
            <w:shd w:val="clear" w:fill="EEF3F8"/>
          </w:tcPr>
          <w:p>
            <w:r>
              <w:rPr>
                <w:b w:val="0"/>
                <w:sz w:val="17"/>
              </w:rPr>
              <w:t>terminal</w:t>
            </w:r>
          </w:p>
        </w:tc>
      </w:tr>
    </w:tbl>
    <w:p/>
    <w:p>
      <w:r>
        <w:rPr>
          <w:sz w:val="21"/>
        </w:rPr>
        <w:t xml:space="preserve">Revocation is enforced at load time: a </w:t>
      </w:r>
      <w:r>
        <w:rPr>
          <w:rFonts w:ascii="Consolas" w:hAnsi="Consolas"/>
          <w:color w:val="0B4884"/>
          <w:sz w:val="18"/>
        </w:rPr>
        <w:t>revoked</w:t>
      </w:r>
      <w:r>
        <w:rPr>
          <w:sz w:val="21"/>
        </w:rPr>
        <w:t xml:space="preserve"> artefact fails the load invariant even if its signature is otherwise valid, giving a fast kill-switch for a model found to be compromised, licence-breaching, or unsafe. </w:t>
      </w:r>
      <w:r>
        <w:rPr>
          <w:rFonts w:ascii="Consolas" w:hAnsi="Consolas"/>
          <w:color w:val="0B4884"/>
          <w:sz w:val="18"/>
        </w:rPr>
        <w:t>[FR-MS-4]</w:t>
      </w:r>
      <w:r>
        <w:rPr>
          <w:sz w:val="21"/>
        </w:rPr>
        <w:t xml:space="preserve"> </w:t>
      </w:r>
      <w:r>
        <w:rPr>
          <w:rFonts w:ascii="Consolas" w:hAnsi="Consolas"/>
          <w:color w:val="0B4884"/>
          <w:sz w:val="18"/>
        </w:rPr>
        <w:t>[NFR-AI-1]</w:t>
      </w:r>
      <w:r>
        <w:rPr>
          <w:sz w:val="21"/>
        </w:rPr>
      </w:r>
    </w:p>
    <w:p>
      <w:pPr>
        <w:pStyle w:val="Heading1"/>
      </w:pPr>
      <w:r>
        <w:t>5. Model Abstraction Layer &amp; Routing</w:t>
      </w:r>
    </w:p>
    <w:p>
      <w:r>
        <w:rPr>
          <w:sz w:val="21"/>
        </w:rPr>
        <w:t>The Model Abstraction Layer preserves Mimir's unchanged inference contract while internally serving three heterogeneous families. Consumers (Forge, Bifrost, Heimdall, and Mimir's own agent runtime) call one API; the layer resolves which model actually answers.</w:t>
      </w:r>
    </w:p>
    <w:p>
      <w:pPr>
        <w:jc w:val="center"/>
      </w:pPr>
      <w:r>
        <w:drawing>
          <wp:inline xmlns:a="http://schemas.openxmlformats.org/drawingml/2006/main" xmlns:pic="http://schemas.openxmlformats.org/drawingml/2006/picture">
            <wp:extent cx="6035040" cy="4218370"/>
            <wp:docPr id="3" name="Picture 3"/>
            <wp:cNvGraphicFramePr>
              <a:graphicFrameLocks noChangeAspect="1"/>
            </wp:cNvGraphicFramePr>
            <a:graphic>
              <a:graphicData uri="http://schemas.openxmlformats.org/drawingml/2006/picture">
                <pic:pic>
                  <pic:nvPicPr>
                    <pic:cNvPr id="0" name="mimir_model_router.png"/>
                    <pic:cNvPicPr/>
                  </pic:nvPicPr>
                  <pic:blipFill>
                    <a:blip r:embed="rId11"/>
                    <a:stretch>
                      <a:fillRect/>
                    </a:stretch>
                  </pic:blipFill>
                  <pic:spPr>
                    <a:xfrm>
                      <a:off x="0" y="0"/>
                      <a:ext cx="6035040" cy="4218370"/>
                    </a:xfrm>
                    <a:prstGeom prst="rect"/>
                  </pic:spPr>
                </pic:pic>
              </a:graphicData>
            </a:graphic>
          </wp:inline>
        </w:drawing>
      </w:r>
    </w:p>
    <w:p>
      <w:pPr>
        <w:jc w:val="center"/>
      </w:pPr>
      <w:r>
        <w:rPr>
          <w:i/>
          <w:color w:val="595959"/>
          <w:sz w:val="17"/>
        </w:rPr>
        <w:t>Figure 5.1 — Multi-model abstraction and policy routing behind the unchanged inference API.</w:t>
      </w:r>
    </w:p>
    <w:p/>
    <w:p>
      <w:pPr>
        <w:pStyle w:val="Heading2"/>
      </w:pPr>
      <w:r>
        <w:t>5.1 Per-family adapters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Adapter</w:t>
            </w:r>
          </w:p>
        </w:tc>
        <w:tc>
          <w:tcPr>
            <w:tcW w:type="dxa" w:w="3264"/>
            <w:shd w:val="clear" w:fill="0B4884"/>
            <w:tcMar>
              <w:top w:w="60" w:type="dxa"/>
              <w:bottom w:w="60" w:type="dxa"/>
              <w:start w:w="90" w:type="dxa"/>
              <w:end w:w="90" w:type="dxa"/>
            </w:tcMar>
          </w:tcPr>
          <w:p>
            <w:r>
              <w:rPr>
                <w:b/>
                <w:color w:val="FFFFFF"/>
                <w:sz w:val="18"/>
              </w:rPr>
              <w:t>Handles</w:t>
            </w:r>
          </w:p>
        </w:tc>
        <w:tc>
          <w:tcPr>
            <w:tcW w:type="dxa" w:w="3264"/>
            <w:shd w:val="clear" w:fill="0B4884"/>
            <w:tcMar>
              <w:top w:w="60" w:type="dxa"/>
              <w:bottom w:w="60" w:type="dxa"/>
              <w:start w:w="90" w:type="dxa"/>
              <w:end w:w="90" w:type="dxa"/>
            </w:tcMar>
          </w:tcPr>
          <w:p>
            <w:r>
              <w:rPr>
                <w:b/>
                <w:color w:val="FFFFFF"/>
                <w:sz w:val="18"/>
              </w:rPr>
              <w:t>Notes</w:t>
            </w:r>
          </w:p>
        </w:tc>
      </w:tr>
      <w:tr>
        <w:tc>
          <w:tcPr>
            <w:tcW w:type="dxa" w:w="3264"/>
            <w:tcMar>
              <w:top w:w="60" w:type="dxa"/>
              <w:bottom w:w="60" w:type="dxa"/>
              <w:start w:w="90" w:type="dxa"/>
              <w:end w:w="90" w:type="dxa"/>
            </w:tcMar>
            <w:shd w:val="clear" w:fill="FFFFFF"/>
          </w:tcPr>
          <w:p>
            <w:r>
              <w:rPr>
                <w:b w:val="0"/>
                <w:sz w:val="17"/>
              </w:rPr>
              <w:t>GLM adapter</w:t>
            </w:r>
          </w:p>
        </w:tc>
        <w:tc>
          <w:tcPr>
            <w:tcW w:type="dxa" w:w="3264"/>
            <w:tcMar>
              <w:top w:w="60" w:type="dxa"/>
              <w:bottom w:w="60" w:type="dxa"/>
              <w:start w:w="90" w:type="dxa"/>
              <w:end w:w="90" w:type="dxa"/>
            </w:tcMar>
            <w:shd w:val="clear" w:fill="FFFFFF"/>
          </w:tcPr>
          <w:p>
            <w:r>
              <w:rPr>
                <w:b w:val="0"/>
                <w:sz w:val="17"/>
              </w:rPr>
              <w:t>GLM chat template, tokenizer, serving quirks</w:t>
            </w:r>
          </w:p>
        </w:tc>
        <w:tc>
          <w:tcPr>
            <w:tcW w:type="dxa" w:w="3264"/>
            <w:tcMar>
              <w:top w:w="60" w:type="dxa"/>
              <w:bottom w:w="60" w:type="dxa"/>
              <w:start w:w="90" w:type="dxa"/>
              <w:end w:w="90" w:type="dxa"/>
            </w:tcMar>
            <w:shd w:val="clear" w:fill="FFFFFF"/>
          </w:tcPr>
          <w:p>
            <w:r>
              <w:rPr>
                <w:b w:val="0"/>
                <w:sz w:val="17"/>
              </w:rPr>
              <w:t>Reasoning-strong default `[FR-MS-7]`</w:t>
            </w:r>
          </w:p>
        </w:tc>
      </w:tr>
      <w:tr>
        <w:tc>
          <w:tcPr>
            <w:tcW w:type="dxa" w:w="3264"/>
            <w:tcMar>
              <w:top w:w="60" w:type="dxa"/>
              <w:bottom w:w="60" w:type="dxa"/>
              <w:start w:w="90" w:type="dxa"/>
              <w:end w:w="90" w:type="dxa"/>
            </w:tcMar>
            <w:shd w:val="clear" w:fill="EEF3F8"/>
          </w:tcPr>
          <w:p>
            <w:r>
              <w:rPr>
                <w:b w:val="0"/>
                <w:sz w:val="17"/>
              </w:rPr>
              <w:t>Nemotron adapter</w:t>
            </w:r>
          </w:p>
        </w:tc>
        <w:tc>
          <w:tcPr>
            <w:tcW w:type="dxa" w:w="3264"/>
            <w:tcMar>
              <w:top w:w="60" w:type="dxa"/>
              <w:bottom w:w="60" w:type="dxa"/>
              <w:start w:w="90" w:type="dxa"/>
              <w:end w:w="90" w:type="dxa"/>
            </w:tcMar>
            <w:shd w:val="clear" w:fill="EEF3F8"/>
          </w:tcPr>
          <w:p>
            <w:r>
              <w:rPr>
                <w:b w:val="0"/>
                <w:sz w:val="17"/>
              </w:rPr>
              <w:t>Nemotron template/tokenizer, NVIDIA formats</w:t>
            </w:r>
          </w:p>
        </w:tc>
        <w:tc>
          <w:tcPr>
            <w:tcW w:type="dxa" w:w="3264"/>
            <w:tcMar>
              <w:top w:w="60" w:type="dxa"/>
              <w:bottom w:w="60" w:type="dxa"/>
              <w:start w:w="90" w:type="dxa"/>
              <w:end w:w="90" w:type="dxa"/>
            </w:tcMar>
            <w:shd w:val="clear" w:fill="EEF3F8"/>
          </w:tcPr>
          <w:p>
            <w:r>
              <w:rPr>
                <w:b w:val="0"/>
                <w:sz w:val="17"/>
              </w:rPr>
              <w:t>Strong code/agentic tasks `[FR-MS-7]`</w:t>
            </w:r>
          </w:p>
        </w:tc>
      </w:tr>
      <w:tr>
        <w:tc>
          <w:tcPr>
            <w:tcW w:type="dxa" w:w="3264"/>
            <w:tcMar>
              <w:top w:w="60" w:type="dxa"/>
              <w:bottom w:w="60" w:type="dxa"/>
              <w:start w:w="90" w:type="dxa"/>
              <w:end w:w="90" w:type="dxa"/>
            </w:tcMar>
            <w:shd w:val="clear" w:fill="FFFFFF"/>
          </w:tcPr>
          <w:p>
            <w:r>
              <w:rPr>
                <w:b w:val="0"/>
                <w:sz w:val="17"/>
              </w:rPr>
              <w:t>Gemma adapter</w:t>
            </w:r>
          </w:p>
        </w:tc>
        <w:tc>
          <w:tcPr>
            <w:tcW w:type="dxa" w:w="3264"/>
            <w:tcMar>
              <w:top w:w="60" w:type="dxa"/>
              <w:bottom w:w="60" w:type="dxa"/>
              <w:start w:w="90" w:type="dxa"/>
              <w:end w:w="90" w:type="dxa"/>
            </w:tcMar>
            <w:shd w:val="clear" w:fill="FFFFFF"/>
          </w:tcPr>
          <w:p>
            <w:r>
              <w:rPr>
                <w:b w:val="0"/>
                <w:sz w:val="17"/>
              </w:rPr>
              <w:t>Gemma template/tokenizer, GGUF/quantised formats</w:t>
            </w:r>
          </w:p>
        </w:tc>
        <w:tc>
          <w:tcPr>
            <w:tcW w:type="dxa" w:w="3264"/>
            <w:tcMar>
              <w:top w:w="60" w:type="dxa"/>
              <w:bottom w:w="60" w:type="dxa"/>
              <w:start w:w="90" w:type="dxa"/>
              <w:end w:w="90" w:type="dxa"/>
            </w:tcMar>
            <w:shd w:val="clear" w:fill="FFFFFF"/>
          </w:tcPr>
          <w:p>
            <w:r>
              <w:rPr>
                <w:b w:val="0"/>
                <w:sz w:val="17"/>
              </w:rPr>
              <w:t>Efficient small-footprint option `[FR-MS-7]`</w:t>
            </w:r>
          </w:p>
        </w:tc>
      </w:tr>
    </w:tbl>
    <w:p/>
    <w:p>
      <w:pPr>
        <w:pStyle w:val="Heading2"/>
      </w:pPr>
      <w:r>
        <w:t>5.2 The router</w:t>
      </w:r>
    </w:p>
    <w:p>
      <w:r>
        <w:rPr>
          <w:sz w:val="21"/>
        </w:rPr>
        <w:t xml:space="preserve">The router selects an artefact per request from three inputs: </w:t>
      </w:r>
      <w:r>
        <w:rPr>
          <w:b/>
          <w:sz w:val="21"/>
        </w:rPr>
        <w:t>workload class</w:t>
      </w:r>
      <w:r>
        <w:rPr>
          <w:sz w:val="21"/>
        </w:rPr>
        <w:t xml:space="preserve"> (e.g. fast-transform, deep-reasoning, code-analysis), </w:t>
      </w:r>
      <w:r>
        <w:rPr>
          <w:b/>
          <w:sz w:val="21"/>
        </w:rPr>
        <w:t>hardware eligibility</w:t>
      </w:r>
      <w:r>
        <w:rPr>
          <w:sz w:val="21"/>
        </w:rPr>
        <w:t xml:space="preserve"> (from the artefact's HwProfile against the node), and </w:t>
      </w:r>
      <w:r>
        <w:rPr>
          <w:b/>
          <w:sz w:val="21"/>
        </w:rPr>
        <w:t>governance policy</w:t>
      </w:r>
      <w:r>
        <w:rPr>
          <w:sz w:val="21"/>
        </w:rPr>
        <w:t xml:space="preserve"> (which families/variants are permitted for which markings, purposes, and tenants). Selection is deterministic, logged, and overridable by explicit request. </w:t>
      </w:r>
      <w:r>
        <w:rPr>
          <w:rFonts w:ascii="Consolas" w:hAnsi="Consolas"/>
          <w:color w:val="0B4884"/>
          <w:sz w:val="18"/>
        </w:rPr>
        <w:t>[FR-MS-8]</w:t>
      </w:r>
      <w:r>
        <w:rPr>
          <w:sz w:val="21"/>
        </w:rPr>
        <w:t xml:space="preserve"> </w:t>
      </w:r>
      <w:r>
        <w:rPr>
          <w:rFonts w:ascii="Consolas" w:hAnsi="Consolas"/>
          <w:color w:val="0B4884"/>
          <w:sz w:val="18"/>
        </w:rPr>
        <w:t>[NFR-SEC-2]</w:t>
      </w:r>
      <w:r>
        <w:rPr>
          <w:sz w:val="21"/>
        </w:rPr>
      </w:r>
    </w:p>
    <w:p>
      <w:pPr>
        <w:shd w:val="clear" w:fill="EEF3F8"/>
        <w:pBdr>
          <w:left w:val="single" w:sz="18" w:space="8" w:color="1168BD"/>
        </w:pBdr>
        <w:ind w:left="144"/>
      </w:pPr>
      <w:r>
        <w:rPr>
          <w:sz w:val="21"/>
        </w:rPr>
      </w:r>
      <w:r>
        <w:rPr>
          <w:b/>
          <w:sz w:val="21"/>
        </w:rPr>
        <w:t>Composability preserved.</w:t>
      </w:r>
      <w:r>
        <w:rPr>
          <w:sz w:val="21"/>
        </w:rPr>
        <w:t xml:space="preserve"> Because routing lives behind the existing inference API, Forge/Bifrost/Heimdall are unchanged: they still call one contract. Per-workflow model choice becomes a platform capability, not a per-product integration. </w:t>
      </w:r>
      <w:r>
        <w:rPr>
          <w:rFonts w:ascii="Consolas" w:hAnsi="Consolas"/>
          <w:color w:val="0B4884"/>
          <w:sz w:val="18"/>
        </w:rPr>
        <w:t>[DD-6]</w:t>
      </w:r>
      <w:r>
        <w:rPr>
          <w:sz w:val="21"/>
        </w:rPr>
      </w:r>
    </w:p>
    <w:p>
      <w:pPr>
        <w:pStyle w:val="Heading2"/>
      </w:pPr>
      <w:r>
        <w:t>5.3 Worked routing examples (design intent)</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Consumer / task</w:t>
            </w:r>
          </w:p>
        </w:tc>
        <w:tc>
          <w:tcPr>
            <w:tcW w:type="dxa" w:w="3264"/>
            <w:shd w:val="clear" w:fill="0B4884"/>
            <w:tcMar>
              <w:top w:w="60" w:type="dxa"/>
              <w:bottom w:w="60" w:type="dxa"/>
              <w:start w:w="90" w:type="dxa"/>
              <w:end w:w="90" w:type="dxa"/>
            </w:tcMar>
          </w:tcPr>
          <w:p>
            <w:r>
              <w:rPr>
                <w:b/>
                <w:color w:val="FFFFFF"/>
                <w:sz w:val="18"/>
              </w:rPr>
              <w:t>Workload class</w:t>
            </w:r>
          </w:p>
        </w:tc>
        <w:tc>
          <w:tcPr>
            <w:tcW w:type="dxa" w:w="3264"/>
            <w:shd w:val="clear" w:fill="0B4884"/>
            <w:tcMar>
              <w:top w:w="60" w:type="dxa"/>
              <w:bottom w:w="60" w:type="dxa"/>
              <w:start w:w="90" w:type="dxa"/>
              <w:end w:w="90" w:type="dxa"/>
            </w:tcMar>
          </w:tcPr>
          <w:p>
            <w:r>
              <w:rPr>
                <w:b/>
                <w:color w:val="FFFFFF"/>
                <w:sz w:val="18"/>
              </w:rPr>
              <w:t>Typical selection</w:t>
            </w:r>
          </w:p>
        </w:tc>
      </w:tr>
      <w:tr>
        <w:tc>
          <w:tcPr>
            <w:tcW w:type="dxa" w:w="3264"/>
            <w:tcMar>
              <w:top w:w="60" w:type="dxa"/>
              <w:bottom w:w="60" w:type="dxa"/>
              <w:start w:w="90" w:type="dxa"/>
              <w:end w:w="90" w:type="dxa"/>
            </w:tcMar>
            <w:shd w:val="clear" w:fill="FFFFFF"/>
          </w:tcPr>
          <w:p>
            <w:r>
              <w:rPr>
                <w:b w:val="0"/>
                <w:sz w:val="17"/>
              </w:rPr>
              <w:t>Forge — NL→transform suggestion</w:t>
            </w:r>
          </w:p>
        </w:tc>
        <w:tc>
          <w:tcPr>
            <w:tcW w:type="dxa" w:w="3264"/>
            <w:tcMar>
              <w:top w:w="60" w:type="dxa"/>
              <w:bottom w:w="60" w:type="dxa"/>
              <w:start w:w="90" w:type="dxa"/>
              <w:end w:w="90" w:type="dxa"/>
            </w:tcMar>
            <w:shd w:val="clear" w:fill="FFFFFF"/>
          </w:tcPr>
          <w:p>
            <w:r>
              <w:rPr>
                <w:b w:val="0"/>
                <w:sz w:val="17"/>
              </w:rPr>
              <w:t>fast-transform</w:t>
            </w:r>
          </w:p>
        </w:tc>
        <w:tc>
          <w:tcPr>
            <w:tcW w:type="dxa" w:w="3264"/>
            <w:tcMar>
              <w:top w:w="60" w:type="dxa"/>
              <w:bottom w:w="60" w:type="dxa"/>
              <w:start w:w="90" w:type="dxa"/>
              <w:end w:w="90" w:type="dxa"/>
            </w:tcMar>
            <w:shd w:val="clear" w:fill="FFFFFF"/>
          </w:tcPr>
          <w:p>
            <w:r>
              <w:rPr>
                <w:b w:val="0"/>
                <w:sz w:val="17"/>
              </w:rPr>
              <w:t>Efficient Gemma variant (low latency)</w:t>
            </w:r>
          </w:p>
        </w:tc>
      </w:tr>
      <w:tr>
        <w:tc>
          <w:tcPr>
            <w:tcW w:type="dxa" w:w="3264"/>
            <w:tcMar>
              <w:top w:w="60" w:type="dxa"/>
              <w:bottom w:w="60" w:type="dxa"/>
              <w:start w:w="90" w:type="dxa"/>
              <w:end w:w="90" w:type="dxa"/>
            </w:tcMar>
            <w:shd w:val="clear" w:fill="EEF3F8"/>
          </w:tcPr>
          <w:p>
            <w:r>
              <w:rPr>
                <w:b w:val="0"/>
                <w:sz w:val="17"/>
              </w:rPr>
              <w:t>Heimdall — course-of-action options</w:t>
            </w:r>
          </w:p>
        </w:tc>
        <w:tc>
          <w:tcPr>
            <w:tcW w:type="dxa" w:w="3264"/>
            <w:tcMar>
              <w:top w:w="60" w:type="dxa"/>
              <w:bottom w:w="60" w:type="dxa"/>
              <w:start w:w="90" w:type="dxa"/>
              <w:end w:w="90" w:type="dxa"/>
            </w:tcMar>
            <w:shd w:val="clear" w:fill="EEF3F8"/>
          </w:tcPr>
          <w:p>
            <w:r>
              <w:rPr>
                <w:b w:val="0"/>
                <w:sz w:val="17"/>
              </w:rPr>
              <w:t>deep-reasoning</w:t>
            </w:r>
          </w:p>
        </w:tc>
        <w:tc>
          <w:tcPr>
            <w:tcW w:type="dxa" w:w="3264"/>
            <w:tcMar>
              <w:top w:w="60" w:type="dxa"/>
              <w:bottom w:w="60" w:type="dxa"/>
              <w:start w:w="90" w:type="dxa"/>
              <w:end w:w="90" w:type="dxa"/>
            </w:tcMar>
            <w:shd w:val="clear" w:fill="EEF3F8"/>
          </w:tcPr>
          <w:p>
            <w:r>
              <w:rPr>
                <w:b w:val="0"/>
                <w:sz w:val="17"/>
              </w:rPr>
              <w:t>Largest eligible GLM variant</w:t>
            </w:r>
          </w:p>
        </w:tc>
      </w:tr>
      <w:tr>
        <w:tc>
          <w:tcPr>
            <w:tcW w:type="dxa" w:w="3264"/>
            <w:tcMar>
              <w:top w:w="60" w:type="dxa"/>
              <w:bottom w:w="60" w:type="dxa"/>
              <w:start w:w="90" w:type="dxa"/>
              <w:end w:w="90" w:type="dxa"/>
            </w:tcMar>
            <w:shd w:val="clear" w:fill="FFFFFF"/>
          </w:tcPr>
          <w:p>
            <w:r>
              <w:rPr>
                <w:b w:val="0"/>
                <w:sz w:val="17"/>
              </w:rPr>
              <w:t>Bifrost — release-risk analysis</w:t>
            </w:r>
          </w:p>
        </w:tc>
        <w:tc>
          <w:tcPr>
            <w:tcW w:type="dxa" w:w="3264"/>
            <w:tcMar>
              <w:top w:w="60" w:type="dxa"/>
              <w:bottom w:w="60" w:type="dxa"/>
              <w:start w:w="90" w:type="dxa"/>
              <w:end w:w="90" w:type="dxa"/>
            </w:tcMar>
            <w:shd w:val="clear" w:fill="FFFFFF"/>
          </w:tcPr>
          <w:p>
            <w:r>
              <w:rPr>
                <w:b w:val="0"/>
                <w:sz w:val="17"/>
              </w:rPr>
              <w:t>code-analysis</w:t>
            </w:r>
          </w:p>
        </w:tc>
        <w:tc>
          <w:tcPr>
            <w:tcW w:type="dxa" w:w="3264"/>
            <w:tcMar>
              <w:top w:w="60" w:type="dxa"/>
              <w:bottom w:w="60" w:type="dxa"/>
              <w:start w:w="90" w:type="dxa"/>
              <w:end w:w="90" w:type="dxa"/>
            </w:tcMar>
            <w:shd w:val="clear" w:fill="FFFFFF"/>
          </w:tcPr>
          <w:p>
            <w:r>
              <w:rPr>
                <w:b w:val="0"/>
                <w:sz w:val="17"/>
              </w:rPr>
              <w:t>Nemotron variant</w:t>
            </w:r>
          </w:p>
        </w:tc>
      </w:tr>
      <w:tr>
        <w:tc>
          <w:tcPr>
            <w:tcW w:type="dxa" w:w="3264"/>
            <w:tcMar>
              <w:top w:w="60" w:type="dxa"/>
              <w:bottom w:w="60" w:type="dxa"/>
              <w:start w:w="90" w:type="dxa"/>
              <w:end w:w="90" w:type="dxa"/>
            </w:tcMar>
            <w:shd w:val="clear" w:fill="EEF3F8"/>
          </w:tcPr>
          <w:p>
            <w:r>
              <w:rPr>
                <w:b w:val="0"/>
                <w:sz w:val="17"/>
              </w:rPr>
              <w:t>Mimir agent — general</w:t>
            </w:r>
          </w:p>
        </w:tc>
        <w:tc>
          <w:tcPr>
            <w:tcW w:type="dxa" w:w="3264"/>
            <w:tcMar>
              <w:top w:w="60" w:type="dxa"/>
              <w:bottom w:w="60" w:type="dxa"/>
              <w:start w:w="90" w:type="dxa"/>
              <w:end w:w="90" w:type="dxa"/>
            </w:tcMar>
            <w:shd w:val="clear" w:fill="EEF3F8"/>
          </w:tcPr>
          <w:p>
            <w:r>
              <w:rPr>
                <w:b w:val="0"/>
                <w:sz w:val="17"/>
              </w:rPr>
              <w:t>balanced</w:t>
            </w:r>
          </w:p>
        </w:tc>
        <w:tc>
          <w:tcPr>
            <w:tcW w:type="dxa" w:w="3264"/>
            <w:tcMar>
              <w:top w:w="60" w:type="dxa"/>
              <w:bottom w:w="60" w:type="dxa"/>
              <w:start w:w="90" w:type="dxa"/>
              <w:end w:w="90" w:type="dxa"/>
            </w:tcMar>
            <w:shd w:val="clear" w:fill="EEF3F8"/>
          </w:tcPr>
          <w:p>
            <w:r>
              <w:rPr>
                <w:b w:val="0"/>
                <w:sz w:val="17"/>
              </w:rPr>
              <w:t>Policy default; overridable per agent</w:t>
            </w:r>
          </w:p>
        </w:tc>
      </w:tr>
    </w:tbl>
    <w:p/>
    <w:p>
      <w:r>
        <w:rPr>
          <w:sz w:val="21"/>
        </w:rPr>
        <w:t xml:space="preserve">These are illustrative defaults, not hard bindings; the actual mapping is policy-configured by the platform admin. </w:t>
      </w:r>
      <w:r>
        <w:rPr>
          <w:rFonts w:ascii="Consolas" w:hAnsi="Consolas"/>
          <w:color w:val="0B4884"/>
          <w:sz w:val="18"/>
        </w:rPr>
        <w:t>[FR-MS-8]</w:t>
      </w:r>
      <w:r>
        <w:rPr>
          <w:sz w:val="21"/>
        </w:rPr>
      </w:r>
    </w:p>
    <w:p>
      <w:pPr>
        <w:pStyle w:val="Heading1"/>
      </w:pPr>
      <w:r>
        <w:t>6. Licence Governance (a first-class concern)</w:t>
      </w:r>
    </w:p>
    <w:p>
      <w:r>
        <w:rPr>
          <w:sz w:val="21"/>
        </w:rPr>
        <w:t>The three families carry materially different licences. This is not a footnote: the suite's open-source-first driver (</w:t>
      </w:r>
      <w:r>
        <w:rPr>
          <w:rFonts w:ascii="Consolas" w:hAnsi="Consolas"/>
          <w:color w:val="0B4884"/>
          <w:sz w:val="18"/>
        </w:rPr>
        <w:t>[DD-2]</w:t>
      </w:r>
      <w:r>
        <w:rPr>
          <w:sz w:val="21"/>
        </w:rPr>
        <w:t>) requires that non-OSI-licensed models are never folded into the OSS core. They are handled as separately-licensed, user-fetched artefacts with terms surfaced and accepted at install time.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Family</w:t>
            </w:r>
          </w:p>
        </w:tc>
        <w:tc>
          <w:tcPr>
            <w:tcW w:type="dxa" w:w="3264"/>
            <w:shd w:val="clear" w:fill="0B4884"/>
            <w:tcMar>
              <w:top w:w="60" w:type="dxa"/>
              <w:bottom w:w="60" w:type="dxa"/>
              <w:start w:w="90" w:type="dxa"/>
              <w:end w:w="90" w:type="dxa"/>
            </w:tcMar>
          </w:tcPr>
          <w:p>
            <w:r>
              <w:rPr>
                <w:b/>
                <w:color w:val="FFFFFF"/>
                <w:sz w:val="18"/>
              </w:rPr>
              <w:t>Licence character (design-time assumption)</w:t>
            </w:r>
          </w:p>
        </w:tc>
        <w:tc>
          <w:tcPr>
            <w:tcW w:type="dxa" w:w="3264"/>
            <w:shd w:val="clear" w:fill="0B4884"/>
            <w:tcMar>
              <w:top w:w="60" w:type="dxa"/>
              <w:bottom w:w="60" w:type="dxa"/>
              <w:start w:w="90" w:type="dxa"/>
              <w:end w:w="90" w:type="dxa"/>
            </w:tcMar>
          </w:tcPr>
          <w:p>
            <w:r>
              <w:rPr>
                <w:b/>
                <w:color w:val="FFFFFF"/>
                <w:sz w:val="18"/>
              </w:rPr>
              <w:t>Handling</w:t>
            </w:r>
          </w:p>
        </w:tc>
      </w:tr>
      <w:tr>
        <w:tc>
          <w:tcPr>
            <w:tcW w:type="dxa" w:w="3264"/>
            <w:tcMar>
              <w:top w:w="60" w:type="dxa"/>
              <w:bottom w:w="60" w:type="dxa"/>
              <w:start w:w="90" w:type="dxa"/>
              <w:end w:w="90" w:type="dxa"/>
            </w:tcMar>
            <w:shd w:val="clear" w:fill="FFFFFF"/>
          </w:tcPr>
          <w:p>
            <w:r>
              <w:rPr>
                <w:b w:val="0"/>
                <w:sz w:val="17"/>
              </w:rPr>
              <w:t>GLM</w:t>
            </w:r>
          </w:p>
        </w:tc>
        <w:tc>
          <w:tcPr>
            <w:tcW w:type="dxa" w:w="3264"/>
            <w:tcMar>
              <w:top w:w="60" w:type="dxa"/>
              <w:bottom w:w="60" w:type="dxa"/>
              <w:start w:w="90" w:type="dxa"/>
              <w:end w:w="90" w:type="dxa"/>
            </w:tcMar>
            <w:shd w:val="clear" w:fill="FFFFFF"/>
          </w:tcPr>
          <w:p>
            <w:r>
              <w:rPr>
                <w:b w:val="0"/>
                <w:sz w:val="17"/>
              </w:rPr>
              <w:t>Varies by variant; some open, some restricted</w:t>
            </w:r>
          </w:p>
        </w:tc>
        <w:tc>
          <w:tcPr>
            <w:tcW w:type="dxa" w:w="3264"/>
            <w:tcMar>
              <w:top w:w="60" w:type="dxa"/>
              <w:bottom w:w="60" w:type="dxa"/>
              <w:start w:w="90" w:type="dxa"/>
              <w:end w:w="90" w:type="dxa"/>
            </w:tcMar>
            <w:shd w:val="clear" w:fill="FFFFFF"/>
          </w:tcPr>
          <w:p>
            <w:r>
              <w:rPr>
                <w:b w:val="0"/>
                <w:sz w:val="17"/>
              </w:rPr>
              <w:t>Per-variant licence field; gate on redistribution_ok `[FR-MS-6]`</w:t>
            </w:r>
          </w:p>
        </w:tc>
      </w:tr>
      <w:tr>
        <w:tc>
          <w:tcPr>
            <w:tcW w:type="dxa" w:w="3264"/>
            <w:tcMar>
              <w:top w:w="60" w:type="dxa"/>
              <w:bottom w:w="60" w:type="dxa"/>
              <w:start w:w="90" w:type="dxa"/>
              <w:end w:w="90" w:type="dxa"/>
            </w:tcMar>
            <w:shd w:val="clear" w:fill="EEF3F8"/>
          </w:tcPr>
          <w:p>
            <w:r>
              <w:rPr>
                <w:b w:val="0"/>
                <w:sz w:val="17"/>
              </w:rPr>
              <w:t>Nemotron</w:t>
            </w:r>
          </w:p>
        </w:tc>
        <w:tc>
          <w:tcPr>
            <w:tcW w:type="dxa" w:w="3264"/>
            <w:tcMar>
              <w:top w:w="60" w:type="dxa"/>
              <w:bottom w:w="60" w:type="dxa"/>
              <w:start w:w="90" w:type="dxa"/>
              <w:end w:w="90" w:type="dxa"/>
            </w:tcMar>
            <w:shd w:val="clear" w:fill="EEF3F8"/>
          </w:tcPr>
          <w:p>
            <w:r>
              <w:rPr>
                <w:b w:val="0"/>
                <w:sz w:val="17"/>
              </w:rPr>
              <w:t>NVIDIA community/open model licences; conditions vary by model</w:t>
            </w:r>
          </w:p>
        </w:tc>
        <w:tc>
          <w:tcPr>
            <w:tcW w:type="dxa" w:w="3264"/>
            <w:tcMar>
              <w:top w:w="60" w:type="dxa"/>
              <w:bottom w:w="60" w:type="dxa"/>
              <w:start w:w="90" w:type="dxa"/>
              <w:end w:w="90" w:type="dxa"/>
            </w:tcMar>
            <w:shd w:val="clear" w:fill="EEF3F8"/>
          </w:tcPr>
          <w:p>
            <w:r>
              <w:rPr>
                <w:b w:val="0"/>
                <w:sz w:val="17"/>
              </w:rPr>
              <w:t>Capture exact terms; surface use restrictions at install</w:t>
            </w:r>
          </w:p>
        </w:tc>
      </w:tr>
      <w:tr>
        <w:tc>
          <w:tcPr>
            <w:tcW w:type="dxa" w:w="3264"/>
            <w:tcMar>
              <w:top w:w="60" w:type="dxa"/>
              <w:bottom w:w="60" w:type="dxa"/>
              <w:start w:w="90" w:type="dxa"/>
              <w:end w:w="90" w:type="dxa"/>
            </w:tcMar>
            <w:shd w:val="clear" w:fill="FFFFFF"/>
          </w:tcPr>
          <w:p>
            <w:r>
              <w:rPr>
                <w:b w:val="0"/>
                <w:sz w:val="17"/>
              </w:rPr>
              <w:t>Gemma</w:t>
            </w:r>
          </w:p>
        </w:tc>
        <w:tc>
          <w:tcPr>
            <w:tcW w:type="dxa" w:w="3264"/>
            <w:tcMar>
              <w:top w:w="60" w:type="dxa"/>
              <w:bottom w:w="60" w:type="dxa"/>
              <w:start w:w="90" w:type="dxa"/>
              <w:end w:w="90" w:type="dxa"/>
            </w:tcMar>
            <w:shd w:val="clear" w:fill="FFFFFF"/>
          </w:tcPr>
          <w:p>
            <w:r>
              <w:rPr>
                <w:b w:val="0"/>
                <w:sz w:val="17"/>
              </w:rPr>
              <w:t>Google Gemma Terms of Use — custom, not OSI-approved, use restrictions apply</w:t>
            </w:r>
          </w:p>
        </w:tc>
        <w:tc>
          <w:tcPr>
            <w:tcW w:type="dxa" w:w="3264"/>
            <w:tcMar>
              <w:top w:w="60" w:type="dxa"/>
              <w:bottom w:w="60" w:type="dxa"/>
              <w:start w:w="90" w:type="dxa"/>
              <w:end w:w="90" w:type="dxa"/>
            </w:tcMar>
            <w:shd w:val="clear" w:fill="FFFFFF"/>
          </w:tcPr>
          <w:p>
            <w:r>
              <w:rPr>
                <w:b w:val="0"/>
                <w:sz w:val="17"/>
              </w:rPr>
              <w:t>Never bundled into OSS core; user fetches + accepts terms</w:t>
            </w:r>
          </w:p>
        </w:tc>
      </w:tr>
    </w:tbl>
    <w:p/>
    <w:p>
      <w:pPr>
        <w:shd w:val="clear" w:fill="EEF3F8"/>
        <w:pBdr>
          <w:left w:val="single" w:sz="18" w:space="8" w:color="0B4884"/>
        </w:pBdr>
        <w:ind w:left="144"/>
      </w:pPr>
      <w:r>
        <w:rPr>
          <w:sz w:val="21"/>
        </w:rPr>
      </w:r>
      <w:r>
        <w:rPr>
          <w:b/>
          <w:sz w:val="21"/>
        </w:rPr>
        <w:t>Design rule.</w:t>
      </w:r>
      <w:r>
        <w:rPr>
          <w:sz w:val="21"/>
        </w:rPr>
        <w:t xml:space="preserve"> The Mimir OSS core ships the *registry, adapters, router, and supply-chain tooling* — all Akuma-authored and OSI-licensed — but ships </w:t>
      </w:r>
      <w:r>
        <w:rPr>
          <w:b/>
          <w:sz w:val="21"/>
        </w:rPr>
        <w:t>no third-party model weights</w:t>
      </w:r>
      <w:r>
        <w:rPr>
          <w:sz w:val="21"/>
        </w:rPr>
        <w:t xml:space="preserve">. Weights are fetched by the operator into staging, where their licence is recorded and enforced. This keeps the open-source boundary clean while letting users run models they are entitled to use. </w:t>
      </w:r>
      <w:r>
        <w:rPr>
          <w:rFonts w:ascii="Consolas" w:hAnsi="Consolas"/>
          <w:color w:val="0B4884"/>
          <w:sz w:val="18"/>
        </w:rPr>
        <w:t>[DD-2]</w:t>
      </w:r>
      <w:r>
        <w:rPr>
          <w:sz w:val="21"/>
        </w:rPr>
        <w:t xml:space="preserve"> </w:t>
      </w:r>
      <w:r>
        <w:rPr>
          <w:rFonts w:ascii="Consolas" w:hAnsi="Consolas"/>
          <w:color w:val="0B4884"/>
          <w:sz w:val="18"/>
        </w:rPr>
        <w:t>[FR-MS-6]</w:t>
      </w:r>
      <w:r>
        <w:rPr>
          <w:sz w:val="21"/>
        </w:rPr>
      </w:r>
    </w:p>
    <w:p>
      <w:r>
        <w:rPr>
          <w:sz w:val="21"/>
        </w:rPr>
        <w:t xml:space="preserve">Licence status is enforced at load, not merely displayed: an artefact whose licence policy is unmet for a given deployment is treated like a </w:t>
      </w:r>
      <w:r>
        <w:rPr>
          <w:rFonts w:ascii="Consolas" w:hAnsi="Consolas"/>
          <w:color w:val="0B4884"/>
          <w:sz w:val="18"/>
        </w:rPr>
        <w:t>revoked</w:t>
      </w:r>
      <w:r>
        <w:rPr>
          <w:sz w:val="21"/>
        </w:rPr>
        <w:t xml:space="preserve"> artefact by the load invariant. </w:t>
      </w:r>
      <w:r>
        <w:rPr>
          <w:rFonts w:ascii="Consolas" w:hAnsi="Consolas"/>
          <w:color w:val="0B4884"/>
          <w:sz w:val="18"/>
        </w:rPr>
        <w:t>[FR-MS-4]</w:t>
      </w:r>
      <w:r>
        <w:rPr>
          <w:sz w:val="21"/>
        </w:rPr>
      </w:r>
    </w:p>
    <w:p>
      <w:pPr>
        <w:pStyle w:val="Heading1"/>
      </w:pPr>
      <w:r>
        <w:t>7. Hardware Eligibility &amp; Graceful Degradation</w:t>
      </w:r>
    </w:p>
    <w:p>
      <w:r>
        <w:rPr>
          <w:sz w:val="21"/>
        </w:rPr>
        <w:t xml:space="preserve">“Most advanced variant” is hardware-bound. The largest GLM and Nemotron variants exceed the single-80GB-GPU reference hardware in </w:t>
      </w:r>
      <w:r>
        <w:rPr>
          <w:rFonts w:ascii="Consolas" w:hAnsi="Consolas"/>
          <w:color w:val="0B4884"/>
          <w:sz w:val="18"/>
        </w:rPr>
        <w:t>[NFR-PERF-1]</w:t>
      </w:r>
      <w:r>
        <w:rPr>
          <w:sz w:val="21"/>
        </w:rPr>
        <w:t xml:space="preserve"> and require multi-GPU or multi-node serving. The registry records a HwProfile per artefact, and the runtime refuses to load a model a node cannot serve — offering the largest *eligible* variant instead.</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Node class (illustrative)</w:t>
            </w:r>
          </w:p>
        </w:tc>
        <w:tc>
          <w:tcPr>
            <w:tcW w:type="dxa" w:w="4896"/>
            <w:shd w:val="clear" w:fill="0B4884"/>
            <w:tcMar>
              <w:top w:w="60" w:type="dxa"/>
              <w:bottom w:w="60" w:type="dxa"/>
              <w:start w:w="90" w:type="dxa"/>
              <w:end w:w="90" w:type="dxa"/>
            </w:tcMar>
          </w:tcPr>
          <w:p>
            <w:r>
              <w:rPr>
                <w:b/>
                <w:color w:val="FFFFFF"/>
                <w:sz w:val="18"/>
              </w:rPr>
              <w:t>Eligible tier (design intent)</w:t>
            </w:r>
          </w:p>
        </w:tc>
      </w:tr>
      <w:tr>
        <w:tc>
          <w:tcPr>
            <w:tcW w:type="dxa" w:w="4896"/>
            <w:tcMar>
              <w:top w:w="60" w:type="dxa"/>
              <w:bottom w:w="60" w:type="dxa"/>
              <w:start w:w="90" w:type="dxa"/>
              <w:end w:w="90" w:type="dxa"/>
            </w:tcMar>
            <w:shd w:val="clear" w:fill="FFFFFF"/>
          </w:tcPr>
          <w:p>
            <w:r>
              <w:rPr>
                <w:b w:val="0"/>
                <w:sz w:val="17"/>
              </w:rPr>
              <w:t>Single 24–48 GB GPU</w:t>
            </w:r>
          </w:p>
        </w:tc>
        <w:tc>
          <w:tcPr>
            <w:tcW w:type="dxa" w:w="4896"/>
            <w:tcMar>
              <w:top w:w="60" w:type="dxa"/>
              <w:bottom w:w="60" w:type="dxa"/>
              <w:start w:w="90" w:type="dxa"/>
              <w:end w:w="90" w:type="dxa"/>
            </w:tcMar>
            <w:shd w:val="clear" w:fill="FFFFFF"/>
          </w:tcPr>
          <w:p>
            <w:r>
              <w:rPr>
                <w:b w:val="0"/>
                <w:sz w:val="17"/>
              </w:rPr>
              <w:t>Quantised small/mid variants (e.g. efficient Gemma, int4 GLM/Nemotron)</w:t>
            </w:r>
          </w:p>
        </w:tc>
      </w:tr>
      <w:tr>
        <w:tc>
          <w:tcPr>
            <w:tcW w:type="dxa" w:w="4896"/>
            <w:tcMar>
              <w:top w:w="60" w:type="dxa"/>
              <w:bottom w:w="60" w:type="dxa"/>
              <w:start w:w="90" w:type="dxa"/>
              <w:end w:w="90" w:type="dxa"/>
            </w:tcMar>
            <w:shd w:val="clear" w:fill="EEF3F8"/>
          </w:tcPr>
          <w:p>
            <w:r>
              <w:rPr>
                <w:b w:val="0"/>
                <w:sz w:val="17"/>
              </w:rPr>
              <w:t>Single 80 GB GPU (reference)</w:t>
            </w:r>
          </w:p>
        </w:tc>
        <w:tc>
          <w:tcPr>
            <w:tcW w:type="dxa" w:w="4896"/>
            <w:tcMar>
              <w:top w:w="60" w:type="dxa"/>
              <w:bottom w:w="60" w:type="dxa"/>
              <w:start w:w="90" w:type="dxa"/>
              <w:end w:w="90" w:type="dxa"/>
            </w:tcMar>
            <w:shd w:val="clear" w:fill="EEF3F8"/>
          </w:tcPr>
          <w:p>
            <w:r>
              <w:rPr>
                <w:b w:val="0"/>
                <w:sz w:val="17"/>
              </w:rPr>
              <w:t>Mid/large single-GPU variants</w:t>
            </w:r>
          </w:p>
        </w:tc>
      </w:tr>
      <w:tr>
        <w:tc>
          <w:tcPr>
            <w:tcW w:type="dxa" w:w="4896"/>
            <w:tcMar>
              <w:top w:w="60" w:type="dxa"/>
              <w:bottom w:w="60" w:type="dxa"/>
              <w:start w:w="90" w:type="dxa"/>
              <w:end w:w="90" w:type="dxa"/>
            </w:tcMar>
            <w:shd w:val="clear" w:fill="FFFFFF"/>
          </w:tcPr>
          <w:p>
            <w:r>
              <w:rPr>
                <w:b w:val="0"/>
                <w:sz w:val="17"/>
              </w:rPr>
              <w:t>Multi-GPU node</w:t>
            </w:r>
          </w:p>
        </w:tc>
        <w:tc>
          <w:tcPr>
            <w:tcW w:type="dxa" w:w="4896"/>
            <w:tcMar>
              <w:top w:w="60" w:type="dxa"/>
              <w:bottom w:w="60" w:type="dxa"/>
              <w:start w:w="90" w:type="dxa"/>
              <w:end w:w="90" w:type="dxa"/>
            </w:tcMar>
            <w:shd w:val="clear" w:fill="FFFFFF"/>
          </w:tcPr>
          <w:p>
            <w:r>
              <w:rPr>
                <w:b w:val="0"/>
                <w:sz w:val="17"/>
              </w:rPr>
              <w:t>Large variants with tensor/pipeline parallelism</w:t>
            </w:r>
          </w:p>
        </w:tc>
      </w:tr>
      <w:tr>
        <w:tc>
          <w:tcPr>
            <w:tcW w:type="dxa" w:w="4896"/>
            <w:tcMar>
              <w:top w:w="60" w:type="dxa"/>
              <w:bottom w:w="60" w:type="dxa"/>
              <w:start w:w="90" w:type="dxa"/>
              <w:end w:w="90" w:type="dxa"/>
            </w:tcMar>
            <w:shd w:val="clear" w:fill="EEF3F8"/>
          </w:tcPr>
          <w:p>
            <w:r>
              <w:rPr>
                <w:b w:val="0"/>
                <w:sz w:val="17"/>
              </w:rPr>
              <w:t>Multi-node cluster</w:t>
            </w:r>
          </w:p>
        </w:tc>
        <w:tc>
          <w:tcPr>
            <w:tcW w:type="dxa" w:w="4896"/>
            <w:tcMar>
              <w:top w:w="60" w:type="dxa"/>
              <w:bottom w:w="60" w:type="dxa"/>
              <w:start w:w="90" w:type="dxa"/>
              <w:end w:w="90" w:type="dxa"/>
            </w:tcMar>
            <w:shd w:val="clear" w:fill="EEF3F8"/>
          </w:tcPr>
          <w:p>
            <w:r>
              <w:rPr>
                <w:b w:val="0"/>
                <w:sz w:val="17"/>
              </w:rPr>
              <w:t>Largest “most advanced” variants</w:t>
            </w:r>
          </w:p>
        </w:tc>
      </w:tr>
    </w:tbl>
    <w:p/>
    <w:p>
      <w:pPr>
        <w:shd w:val="clear" w:fill="EEF3F8"/>
        <w:pBdr>
          <w:left w:val="single" w:sz="18" w:space="8" w:color="1E7A46"/>
        </w:pBdr>
        <w:ind w:left="144"/>
      </w:pPr>
      <w:r>
        <w:rPr>
          <w:sz w:val="21"/>
        </w:rPr>
      </w:r>
      <w:r>
        <w:rPr>
          <w:b/>
          <w:sz w:val="21"/>
        </w:rPr>
        <w:t>Fleet behaviour.</w:t>
      </w:r>
      <w:r>
        <w:rPr>
          <w:sz w:val="21"/>
        </w:rPr>
        <w:t xml:space="preserve"> Across heterogeneous hardware the capability degrades gracefully rather than failing: every node runs the best model it can, and the router never offers a consumer a model the serving node cannot load. </w:t>
      </w:r>
      <w:r>
        <w:rPr>
          <w:rFonts w:ascii="Consolas" w:hAnsi="Consolas"/>
          <w:color w:val="0B4884"/>
          <w:sz w:val="18"/>
        </w:rPr>
        <w:t>[FR-MS-5]</w:t>
      </w:r>
      <w:r>
        <w:rPr>
          <w:sz w:val="21"/>
        </w:rPr>
        <w:t xml:space="preserve"> </w:t>
      </w:r>
      <w:r>
        <w:rPr>
          <w:rFonts w:ascii="Consolas" w:hAnsi="Consolas"/>
          <w:color w:val="0B4884"/>
          <w:sz w:val="18"/>
        </w:rPr>
        <w:t>[NFR-PERF-1]</w:t>
      </w:r>
      <w:r>
        <w:rPr>
          <w:sz w:val="21"/>
        </w:rPr>
      </w:r>
    </w:p>
    <w:p>
      <w:pPr>
        <w:pStyle w:val="Heading1"/>
      </w:pPr>
      <w:r>
        <w:t>8. Updated &amp; New Acceptance Criteria</w:t>
      </w:r>
    </w:p>
    <w:p>
      <w:r>
        <w:rPr>
          <w:sz w:val="21"/>
        </w:rPr>
        <w:t xml:space="preserve">The original Mimir acceptance criterion </w:t>
      </w:r>
      <w:r>
        <w:rPr>
          <w:b/>
          <w:sz w:val="21"/>
        </w:rPr>
        <w:t>AC-MI-7</w:t>
      </w:r>
      <w:r>
        <w:rPr>
          <w:sz w:val="21"/>
        </w:rPr>
        <w:t xml:space="preserve"> (single-model signature verification) is superseded by </w:t>
      </w:r>
      <w:r>
        <w:rPr>
          <w:b/>
          <w:sz w:val="21"/>
        </w:rPr>
        <w:t>AC-MS-2</w:t>
      </w:r>
      <w:r>
        <w:rPr>
          <w:sz w:val="21"/>
        </w:rPr>
        <w:t xml:space="preserve"> below, generalised across three families. The remaining criteria are new and must all pass for the gap to be certified closed.</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Given / When / Then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AC-MS-1</w:t>
            </w:r>
          </w:p>
        </w:tc>
        <w:tc>
          <w:tcPr>
            <w:tcW w:type="dxa" w:w="3264"/>
            <w:tcMar>
              <w:top w:w="60" w:type="dxa"/>
              <w:bottom w:w="60" w:type="dxa"/>
              <w:start w:w="90" w:type="dxa"/>
              <w:end w:w="90" w:type="dxa"/>
            </w:tcMar>
            <w:shd w:val="clear" w:fill="FFFFFF"/>
          </w:tcPr>
          <w:p>
            <w:r>
              <w:rPr>
                <w:b w:val="0"/>
                <w:sz w:val="17"/>
              </w:rPr>
              <w:t>Given an upstream model, when staged, then native provenance is verified where available, a CycloneDX SBOM is generated, the licence is captured, and the bundle is re-signed under Akuma's ML-DSA key.</w:t>
            </w:r>
          </w:p>
        </w:tc>
        <w:tc>
          <w:tcPr>
            <w:tcW w:type="dxa" w:w="3264"/>
            <w:tcMar>
              <w:top w:w="60" w:type="dxa"/>
              <w:bottom w:w="60" w:type="dxa"/>
              <w:start w:w="90" w:type="dxa"/>
              <w:end w:w="90" w:type="dxa"/>
            </w:tcMar>
            <w:shd w:val="clear" w:fill="FFFFFF"/>
          </w:tcPr>
          <w:p>
            <w:r>
              <w:rPr>
                <w:b w:val="0"/>
                <w:sz w:val="17"/>
              </w:rPr>
              <w:t>`[FR-MS-1]` `[FR-MS-2]` `[NFR-PQ-3]`</w:t>
            </w:r>
          </w:p>
        </w:tc>
      </w:tr>
      <w:tr>
        <w:tc>
          <w:tcPr>
            <w:tcW w:type="dxa" w:w="3264"/>
            <w:tcMar>
              <w:top w:w="60" w:type="dxa"/>
              <w:bottom w:w="60" w:type="dxa"/>
              <w:start w:w="90" w:type="dxa"/>
              <w:end w:w="90" w:type="dxa"/>
            </w:tcMar>
            <w:shd w:val="clear" w:fill="EEF3F8"/>
          </w:tcPr>
          <w:p>
            <w:r>
              <w:rPr>
                <w:b w:val="0"/>
                <w:sz w:val="17"/>
              </w:rPr>
              <w:t>AC-MS-2</w:t>
            </w:r>
          </w:p>
        </w:tc>
        <w:tc>
          <w:tcPr>
            <w:tcW w:type="dxa" w:w="3264"/>
            <w:tcMar>
              <w:top w:w="60" w:type="dxa"/>
              <w:bottom w:w="60" w:type="dxa"/>
              <w:start w:w="90" w:type="dxa"/>
              <w:end w:w="90" w:type="dxa"/>
            </w:tcMar>
            <w:shd w:val="clear" w:fill="EEF3F8"/>
          </w:tcPr>
          <w:p>
            <w:r>
              <w:rPr>
                <w:b w:val="0"/>
                <w:sz w:val="17"/>
              </w:rPr>
              <w:t>Given any model artefact of any supported family, when loaded, then its ML-DSA signature is verified and loading fails closed on mismatch (supersedes AC-MI-7).</w:t>
            </w:r>
          </w:p>
        </w:tc>
        <w:tc>
          <w:tcPr>
            <w:tcW w:type="dxa" w:w="3264"/>
            <w:tcMar>
              <w:top w:w="60" w:type="dxa"/>
              <w:bottom w:w="60" w:type="dxa"/>
              <w:start w:w="90" w:type="dxa"/>
              <w:end w:w="90" w:type="dxa"/>
            </w:tcMar>
            <w:shd w:val="clear" w:fill="EEF3F8"/>
          </w:tcPr>
          <w:p>
            <w:r>
              <w:rPr>
                <w:b w:val="0"/>
                <w:sz w:val="17"/>
              </w:rPr>
              <w:t>`[FR-MS-4]`</w:t>
            </w:r>
          </w:p>
        </w:tc>
      </w:tr>
      <w:tr>
        <w:tc>
          <w:tcPr>
            <w:tcW w:type="dxa" w:w="3264"/>
            <w:tcMar>
              <w:top w:w="60" w:type="dxa"/>
              <w:bottom w:w="60" w:type="dxa"/>
              <w:start w:w="90" w:type="dxa"/>
              <w:end w:w="90" w:type="dxa"/>
            </w:tcMar>
            <w:shd w:val="clear" w:fill="FFFFFF"/>
          </w:tcPr>
          <w:p>
            <w:r>
              <w:rPr>
                <w:b w:val="0"/>
                <w:sz w:val="17"/>
              </w:rPr>
              <w:t>AC-MS-3</w:t>
            </w:r>
          </w:p>
        </w:tc>
        <w:tc>
          <w:tcPr>
            <w:tcW w:type="dxa" w:w="3264"/>
            <w:tcMar>
              <w:top w:w="60" w:type="dxa"/>
              <w:bottom w:w="60" w:type="dxa"/>
              <w:start w:w="90" w:type="dxa"/>
              <w:end w:w="90" w:type="dxa"/>
            </w:tcMar>
            <w:shd w:val="clear" w:fill="FFFFFF"/>
          </w:tcPr>
          <w:p>
            <w:r>
              <w:rPr>
                <w:b w:val="0"/>
                <w:sz w:val="17"/>
              </w:rPr>
              <w:t>Given a signed bundle, when imported to an air-gapped enclosure, then it transits only via Bifrost's signed-bundle workflow and is rejected if the Akuma signature fails.</w:t>
            </w:r>
          </w:p>
        </w:tc>
        <w:tc>
          <w:tcPr>
            <w:tcW w:type="dxa" w:w="3264"/>
            <w:tcMar>
              <w:top w:w="60" w:type="dxa"/>
              <w:bottom w:w="60" w:type="dxa"/>
              <w:start w:w="90" w:type="dxa"/>
              <w:end w:w="90" w:type="dxa"/>
            </w:tcMar>
            <w:shd w:val="clear" w:fill="FFFFFF"/>
          </w:tcPr>
          <w:p>
            <w:r>
              <w:rPr>
                <w:b w:val="0"/>
                <w:sz w:val="17"/>
              </w:rPr>
              <w:t>`[FR-B-4]` `[FR-B-5]`</w:t>
            </w:r>
          </w:p>
        </w:tc>
      </w:tr>
      <w:tr>
        <w:tc>
          <w:tcPr>
            <w:tcW w:type="dxa" w:w="3264"/>
            <w:tcMar>
              <w:top w:w="60" w:type="dxa"/>
              <w:bottom w:w="60" w:type="dxa"/>
              <w:start w:w="90" w:type="dxa"/>
              <w:end w:w="90" w:type="dxa"/>
            </w:tcMar>
            <w:shd w:val="clear" w:fill="EEF3F8"/>
          </w:tcPr>
          <w:p>
            <w:r>
              <w:rPr>
                <w:b w:val="0"/>
                <w:sz w:val="17"/>
              </w:rPr>
              <w:t>AC-MS-4</w:t>
            </w:r>
          </w:p>
        </w:tc>
        <w:tc>
          <w:tcPr>
            <w:tcW w:type="dxa" w:w="3264"/>
            <w:tcMar>
              <w:top w:w="60" w:type="dxa"/>
              <w:bottom w:w="60" w:type="dxa"/>
              <w:start w:w="90" w:type="dxa"/>
              <w:end w:w="90" w:type="dxa"/>
            </w:tcMar>
            <w:shd w:val="clear" w:fill="EEF3F8"/>
          </w:tcPr>
          <w:p>
            <w:r>
              <w:rPr>
                <w:b w:val="0"/>
                <w:sz w:val="17"/>
              </w:rPr>
              <w:t>Given three families are registered (GLM, Nemotron, Gemma), when a consumer calls the unchanged inference API, then the router selects an eligible, policy-permitted artefact and the consumer requires no code change.</w:t>
            </w:r>
          </w:p>
        </w:tc>
        <w:tc>
          <w:tcPr>
            <w:tcW w:type="dxa" w:w="3264"/>
            <w:tcMar>
              <w:top w:w="60" w:type="dxa"/>
              <w:bottom w:w="60" w:type="dxa"/>
              <w:start w:w="90" w:type="dxa"/>
              <w:end w:w="90" w:type="dxa"/>
            </w:tcMar>
            <w:shd w:val="clear" w:fill="EEF3F8"/>
          </w:tcPr>
          <w:p>
            <w:r>
              <w:rPr>
                <w:b w:val="0"/>
                <w:sz w:val="17"/>
              </w:rPr>
              <w:t>`[FR-MS-7]` `[FR-MS-8]` `[DD-6]`</w:t>
            </w:r>
          </w:p>
        </w:tc>
      </w:tr>
      <w:tr>
        <w:tc>
          <w:tcPr>
            <w:tcW w:type="dxa" w:w="3264"/>
            <w:tcMar>
              <w:top w:w="60" w:type="dxa"/>
              <w:bottom w:w="60" w:type="dxa"/>
              <w:start w:w="90" w:type="dxa"/>
              <w:end w:w="90" w:type="dxa"/>
            </w:tcMar>
            <w:shd w:val="clear" w:fill="FFFFFF"/>
          </w:tcPr>
          <w:p>
            <w:r>
              <w:rPr>
                <w:b w:val="0"/>
                <w:sz w:val="17"/>
              </w:rPr>
              <w:t>AC-MS-5</w:t>
            </w:r>
          </w:p>
        </w:tc>
        <w:tc>
          <w:tcPr>
            <w:tcW w:type="dxa" w:w="3264"/>
            <w:tcMar>
              <w:top w:w="60" w:type="dxa"/>
              <w:bottom w:w="60" w:type="dxa"/>
              <w:start w:w="90" w:type="dxa"/>
              <w:end w:w="90" w:type="dxa"/>
            </w:tcMar>
            <w:shd w:val="clear" w:fill="FFFFFF"/>
          </w:tcPr>
          <w:p>
            <w:r>
              <w:rPr>
                <w:b w:val="0"/>
                <w:sz w:val="17"/>
              </w:rPr>
              <w:t>Given a node that cannot satisfy a variant's HwProfile, when that variant is requested, then it is not loaded and the largest eligible variant is offered instead.</w:t>
            </w:r>
          </w:p>
        </w:tc>
        <w:tc>
          <w:tcPr>
            <w:tcW w:type="dxa" w:w="3264"/>
            <w:tcMar>
              <w:top w:w="60" w:type="dxa"/>
              <w:bottom w:w="60" w:type="dxa"/>
              <w:start w:w="90" w:type="dxa"/>
              <w:end w:w="90" w:type="dxa"/>
            </w:tcMar>
            <w:shd w:val="clear" w:fill="FFFFFF"/>
          </w:tcPr>
          <w:p>
            <w:r>
              <w:rPr>
                <w:b w:val="0"/>
                <w:sz w:val="17"/>
              </w:rPr>
              <w:t>`[FR-MS-5]`</w:t>
            </w:r>
          </w:p>
        </w:tc>
      </w:tr>
      <w:tr>
        <w:tc>
          <w:tcPr>
            <w:tcW w:type="dxa" w:w="3264"/>
            <w:tcMar>
              <w:top w:w="60" w:type="dxa"/>
              <w:bottom w:w="60" w:type="dxa"/>
              <w:start w:w="90" w:type="dxa"/>
              <w:end w:w="90" w:type="dxa"/>
            </w:tcMar>
            <w:shd w:val="clear" w:fill="EEF3F8"/>
          </w:tcPr>
          <w:p>
            <w:r>
              <w:rPr>
                <w:b w:val="0"/>
                <w:sz w:val="17"/>
              </w:rPr>
              <w:t>AC-MS-6</w:t>
            </w:r>
          </w:p>
        </w:tc>
        <w:tc>
          <w:tcPr>
            <w:tcW w:type="dxa" w:w="3264"/>
            <w:tcMar>
              <w:top w:w="60" w:type="dxa"/>
              <w:bottom w:w="60" w:type="dxa"/>
              <w:start w:w="90" w:type="dxa"/>
              <w:end w:w="90" w:type="dxa"/>
            </w:tcMar>
            <w:shd w:val="clear" w:fill="EEF3F8"/>
          </w:tcPr>
          <w:p>
            <w:r>
              <w:rPr>
                <w:b w:val="0"/>
                <w:sz w:val="17"/>
              </w:rPr>
              <w:t>Given a model whose licence policy is unmet for the deployment, when a load is attempted, then it is refused exactly as a revoked artefact is.</w:t>
            </w:r>
          </w:p>
        </w:tc>
        <w:tc>
          <w:tcPr>
            <w:tcW w:type="dxa" w:w="3264"/>
            <w:tcMar>
              <w:top w:w="60" w:type="dxa"/>
              <w:bottom w:w="60" w:type="dxa"/>
              <w:start w:w="90" w:type="dxa"/>
              <w:end w:w="90" w:type="dxa"/>
            </w:tcMar>
            <w:shd w:val="clear" w:fill="EEF3F8"/>
          </w:tcPr>
          <w:p>
            <w:r>
              <w:rPr>
                <w:b w:val="0"/>
                <w:sz w:val="17"/>
              </w:rPr>
              <w:t>`[FR-MS-6]`</w:t>
            </w:r>
          </w:p>
        </w:tc>
      </w:tr>
      <w:tr>
        <w:tc>
          <w:tcPr>
            <w:tcW w:type="dxa" w:w="3264"/>
            <w:tcMar>
              <w:top w:w="60" w:type="dxa"/>
              <w:bottom w:w="60" w:type="dxa"/>
              <w:start w:w="90" w:type="dxa"/>
              <w:end w:w="90" w:type="dxa"/>
            </w:tcMar>
            <w:shd w:val="clear" w:fill="FFFFFF"/>
          </w:tcPr>
          <w:p>
            <w:r>
              <w:rPr>
                <w:b w:val="0"/>
                <w:sz w:val="17"/>
              </w:rPr>
              <w:t>AC-MS-7</w:t>
            </w:r>
          </w:p>
        </w:tc>
        <w:tc>
          <w:tcPr>
            <w:tcW w:type="dxa" w:w="3264"/>
            <w:tcMar>
              <w:top w:w="60" w:type="dxa"/>
              <w:bottom w:w="60" w:type="dxa"/>
              <w:start w:w="90" w:type="dxa"/>
              <w:end w:w="90" w:type="dxa"/>
            </w:tcMar>
            <w:shd w:val="clear" w:fill="FFFFFF"/>
          </w:tcPr>
          <w:p>
            <w:r>
              <w:rPr>
                <w:b w:val="0"/>
                <w:sz w:val="17"/>
              </w:rPr>
              <w:t>Given an artefact set to revoked (licence/CVE/eval regression), when any load is attempted, then it fails closed regardless of signature validity.</w:t>
            </w:r>
          </w:p>
        </w:tc>
        <w:tc>
          <w:tcPr>
            <w:tcW w:type="dxa" w:w="3264"/>
            <w:tcMar>
              <w:top w:w="60" w:type="dxa"/>
              <w:bottom w:w="60" w:type="dxa"/>
              <w:start w:w="90" w:type="dxa"/>
              <w:end w:w="90" w:type="dxa"/>
            </w:tcMar>
            <w:shd w:val="clear" w:fill="FFFFFF"/>
          </w:tcPr>
          <w:p>
            <w:r>
              <w:rPr>
                <w:b w:val="0"/>
                <w:sz w:val="17"/>
              </w:rPr>
              <w:t>`[FR-MS-4]` `[NFR-AI-1]`</w:t>
            </w:r>
          </w:p>
        </w:tc>
      </w:tr>
      <w:tr>
        <w:tc>
          <w:tcPr>
            <w:tcW w:type="dxa" w:w="3264"/>
            <w:tcMar>
              <w:top w:w="60" w:type="dxa"/>
              <w:bottom w:w="60" w:type="dxa"/>
              <w:start w:w="90" w:type="dxa"/>
              <w:end w:w="90" w:type="dxa"/>
            </w:tcMar>
            <w:shd w:val="clear" w:fill="EEF3F8"/>
          </w:tcPr>
          <w:p>
            <w:r>
              <w:rPr>
                <w:b w:val="0"/>
                <w:sz w:val="17"/>
              </w:rPr>
              <w:t>AC-MS-8</w:t>
            </w:r>
          </w:p>
        </w:tc>
        <w:tc>
          <w:tcPr>
            <w:tcW w:type="dxa" w:w="3264"/>
            <w:tcMar>
              <w:top w:w="60" w:type="dxa"/>
              <w:bottom w:w="60" w:type="dxa"/>
              <w:start w:w="90" w:type="dxa"/>
              <w:end w:w="90" w:type="dxa"/>
            </w:tcMar>
            <w:shd w:val="clear" w:fill="EEF3F8"/>
          </w:tcPr>
          <w:p>
            <w:r>
              <w:rPr>
                <w:b w:val="0"/>
                <w:sz w:val="17"/>
              </w:rPr>
              <w:t>Given no outbound connectivity, when models are used, then all inference proceeds from locally-registered, verified artefacts (no hosted dependency).</w:t>
            </w:r>
          </w:p>
        </w:tc>
        <w:tc>
          <w:tcPr>
            <w:tcW w:type="dxa" w:w="3264"/>
            <w:tcMar>
              <w:top w:w="60" w:type="dxa"/>
              <w:bottom w:w="60" w:type="dxa"/>
              <w:start w:w="90" w:type="dxa"/>
              <w:end w:w="90" w:type="dxa"/>
            </w:tcMar>
            <w:shd w:val="clear" w:fill="EEF3F8"/>
          </w:tcPr>
          <w:p>
            <w:r>
              <w:rPr>
                <w:b w:val="0"/>
                <w:sz w:val="17"/>
              </w:rPr>
              <w:t>`[DD-4]` `[NFR-PRV-1]`</w:t>
            </w:r>
          </w:p>
        </w:tc>
      </w:tr>
      <w:tr>
        <w:tc>
          <w:tcPr>
            <w:tcW w:type="dxa" w:w="3264"/>
            <w:tcMar>
              <w:top w:w="60" w:type="dxa"/>
              <w:bottom w:w="60" w:type="dxa"/>
              <w:start w:w="90" w:type="dxa"/>
              <w:end w:w="90" w:type="dxa"/>
            </w:tcMar>
            <w:shd w:val="clear" w:fill="FFFFFF"/>
          </w:tcPr>
          <w:p>
            <w:r>
              <w:rPr>
                <w:b w:val="0"/>
                <w:sz w:val="17"/>
              </w:rPr>
              <w:t>AC-MS-9</w:t>
            </w:r>
          </w:p>
        </w:tc>
        <w:tc>
          <w:tcPr>
            <w:tcW w:type="dxa" w:w="3264"/>
            <w:tcMar>
              <w:top w:w="60" w:type="dxa"/>
              <w:bottom w:w="60" w:type="dxa"/>
              <w:start w:w="90" w:type="dxa"/>
              <w:end w:w="90" w:type="dxa"/>
            </w:tcMar>
            <w:shd w:val="clear" w:fill="FFFFFF"/>
          </w:tcPr>
          <w:p>
            <w:r>
              <w:rPr>
                <w:b w:val="0"/>
                <w:sz w:val="17"/>
              </w:rPr>
              <w:t>Given a model swap between families, when performed, then it is hot-swappable without changing the inference contract or migrating consumer data (crypto/model agility).</w:t>
            </w:r>
          </w:p>
        </w:tc>
        <w:tc>
          <w:tcPr>
            <w:tcW w:type="dxa" w:w="3264"/>
            <w:tcMar>
              <w:top w:w="60" w:type="dxa"/>
              <w:bottom w:w="60" w:type="dxa"/>
              <w:start w:w="90" w:type="dxa"/>
              <w:end w:w="90" w:type="dxa"/>
            </w:tcMar>
            <w:shd w:val="clear" w:fill="FFFFFF"/>
          </w:tcPr>
          <w:p>
            <w:r>
              <w:rPr>
                <w:b w:val="0"/>
                <w:sz w:val="17"/>
              </w:rPr>
              <w:t>`[NFR-PQ-4]` `[DD-6]`</w:t>
            </w:r>
          </w:p>
        </w:tc>
      </w:tr>
    </w:tbl>
    <w:p/>
    <w:p>
      <w:pPr>
        <w:pStyle w:val="Heading1"/>
      </w:pPr>
      <w:r>
        <w:t>9. New Functional Requirements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ID</w:t>
            </w:r>
          </w:p>
        </w:tc>
        <w:tc>
          <w:tcPr>
            <w:tcW w:type="dxa" w:w="4896"/>
            <w:shd w:val="clear" w:fill="0B4884"/>
            <w:tcMar>
              <w:top w:w="60" w:type="dxa"/>
              <w:bottom w:w="60" w:type="dxa"/>
              <w:start w:w="90" w:type="dxa"/>
              <w:end w:w="90" w:type="dxa"/>
            </w:tcMar>
          </w:tcPr>
          <w:p>
            <w:r>
              <w:rPr>
                <w:b/>
                <w:color w:val="FFFFFF"/>
                <w:sz w:val="18"/>
              </w:rPr>
              <w:t>Requirement</w:t>
            </w:r>
          </w:p>
        </w:tc>
      </w:tr>
      <w:tr>
        <w:tc>
          <w:tcPr>
            <w:tcW w:type="dxa" w:w="4896"/>
            <w:tcMar>
              <w:top w:w="60" w:type="dxa"/>
              <w:bottom w:w="60" w:type="dxa"/>
              <w:start w:w="90" w:type="dxa"/>
              <w:end w:w="90" w:type="dxa"/>
            </w:tcMar>
            <w:shd w:val="clear" w:fill="FFFFFF"/>
          </w:tcPr>
          <w:p>
            <w:r>
              <w:rPr>
                <w:b w:val="0"/>
                <w:sz w:val="17"/>
              </w:rPr>
              <w:t>FR-MS-1</w:t>
            </w:r>
          </w:p>
        </w:tc>
        <w:tc>
          <w:tcPr>
            <w:tcW w:type="dxa" w:w="4896"/>
            <w:tcMar>
              <w:top w:w="60" w:type="dxa"/>
              <w:bottom w:w="60" w:type="dxa"/>
              <w:start w:w="90" w:type="dxa"/>
              <w:end w:w="90" w:type="dxa"/>
            </w:tcMar>
            <w:shd w:val="clear" w:fill="FFFFFF"/>
          </w:tcPr>
          <w:p>
            <w:r>
              <w:rPr>
                <w:b w:val="0"/>
                <w:sz w:val="17"/>
              </w:rPr>
              <w:t>Fetch model variants from upstream sources in the staging enclave only.</w:t>
            </w:r>
          </w:p>
        </w:tc>
      </w:tr>
      <w:tr>
        <w:tc>
          <w:tcPr>
            <w:tcW w:type="dxa" w:w="4896"/>
            <w:tcMar>
              <w:top w:w="60" w:type="dxa"/>
              <w:bottom w:w="60" w:type="dxa"/>
              <w:start w:w="90" w:type="dxa"/>
              <w:end w:w="90" w:type="dxa"/>
            </w:tcMar>
            <w:shd w:val="clear" w:fill="EEF3F8"/>
          </w:tcPr>
          <w:p>
            <w:r>
              <w:rPr>
                <w:b w:val="0"/>
                <w:sz w:val="17"/>
              </w:rPr>
              <w:t>FR-MS-2</w:t>
            </w:r>
          </w:p>
        </w:tc>
        <w:tc>
          <w:tcPr>
            <w:tcW w:type="dxa" w:w="4896"/>
            <w:tcMar>
              <w:top w:w="60" w:type="dxa"/>
              <w:bottom w:w="60" w:type="dxa"/>
              <w:start w:w="90" w:type="dxa"/>
              <w:end w:w="90" w:type="dxa"/>
            </w:tcMar>
            <w:shd w:val="clear" w:fill="EEF3F8"/>
          </w:tcPr>
          <w:p>
            <w:r>
              <w:rPr>
                <w:b w:val="0"/>
                <w:sz w:val="17"/>
              </w:rPr>
              <w:t>Verify native upstream provenance where present; record verifiability status.</w:t>
            </w:r>
          </w:p>
        </w:tc>
      </w:tr>
      <w:tr>
        <w:tc>
          <w:tcPr>
            <w:tcW w:type="dxa" w:w="4896"/>
            <w:tcMar>
              <w:top w:w="60" w:type="dxa"/>
              <w:bottom w:w="60" w:type="dxa"/>
              <w:start w:w="90" w:type="dxa"/>
              <w:end w:w="90" w:type="dxa"/>
            </w:tcMar>
            <w:shd w:val="clear" w:fill="FFFFFF"/>
          </w:tcPr>
          <w:p>
            <w:r>
              <w:rPr>
                <w:b w:val="0"/>
                <w:sz w:val="17"/>
              </w:rPr>
              <w:t>FR-MS-3</w:t>
            </w:r>
          </w:p>
        </w:tc>
        <w:tc>
          <w:tcPr>
            <w:tcW w:type="dxa" w:w="4896"/>
            <w:tcMar>
              <w:top w:w="60" w:type="dxa"/>
              <w:bottom w:w="60" w:type="dxa"/>
              <w:start w:w="90" w:type="dxa"/>
              <w:end w:w="90" w:type="dxa"/>
            </w:tcMar>
            <w:shd w:val="clear" w:fill="FFFFFF"/>
          </w:tcPr>
          <w:p>
            <w:r>
              <w:rPr>
                <w:b w:val="0"/>
                <w:sz w:val="17"/>
              </w:rPr>
              <w:t>Maintain an in-enclosure Model Registry as the system of record for all loadable artefacts.</w:t>
            </w:r>
          </w:p>
        </w:tc>
      </w:tr>
      <w:tr>
        <w:tc>
          <w:tcPr>
            <w:tcW w:type="dxa" w:w="4896"/>
            <w:tcMar>
              <w:top w:w="60" w:type="dxa"/>
              <w:bottom w:w="60" w:type="dxa"/>
              <w:start w:w="90" w:type="dxa"/>
              <w:end w:w="90" w:type="dxa"/>
            </w:tcMar>
            <w:shd w:val="clear" w:fill="EEF3F8"/>
          </w:tcPr>
          <w:p>
            <w:r>
              <w:rPr>
                <w:b w:val="0"/>
                <w:sz w:val="17"/>
              </w:rPr>
              <w:t>FR-MS-4</w:t>
            </w:r>
          </w:p>
        </w:tc>
        <w:tc>
          <w:tcPr>
            <w:tcW w:type="dxa" w:w="4896"/>
            <w:tcMar>
              <w:top w:w="60" w:type="dxa"/>
              <w:bottom w:w="60" w:type="dxa"/>
              <w:start w:w="90" w:type="dxa"/>
              <w:end w:w="90" w:type="dxa"/>
            </w:tcMar>
            <w:shd w:val="clear" w:fill="EEF3F8"/>
          </w:tcPr>
          <w:p>
            <w:r>
              <w:rPr>
                <w:b w:val="0"/>
                <w:sz w:val="17"/>
              </w:rPr>
              <w:t>Verify the Akuma ML-DSA signature, licence policy, and hardware eligibility on every load; fail closed.</w:t>
            </w:r>
          </w:p>
        </w:tc>
      </w:tr>
      <w:tr>
        <w:tc>
          <w:tcPr>
            <w:tcW w:type="dxa" w:w="4896"/>
            <w:tcMar>
              <w:top w:w="60" w:type="dxa"/>
              <w:bottom w:w="60" w:type="dxa"/>
              <w:start w:w="90" w:type="dxa"/>
              <w:end w:w="90" w:type="dxa"/>
            </w:tcMar>
            <w:shd w:val="clear" w:fill="FFFFFF"/>
          </w:tcPr>
          <w:p>
            <w:r>
              <w:rPr>
                <w:b w:val="0"/>
                <w:sz w:val="17"/>
              </w:rPr>
              <w:t>FR-MS-5</w:t>
            </w:r>
          </w:p>
        </w:tc>
        <w:tc>
          <w:tcPr>
            <w:tcW w:type="dxa" w:w="4896"/>
            <w:tcMar>
              <w:top w:w="60" w:type="dxa"/>
              <w:bottom w:w="60" w:type="dxa"/>
              <w:start w:w="90" w:type="dxa"/>
              <w:end w:w="90" w:type="dxa"/>
            </w:tcMar>
            <w:shd w:val="clear" w:fill="FFFFFF"/>
          </w:tcPr>
          <w:p>
            <w:r>
              <w:rPr>
                <w:b w:val="0"/>
                <w:sz w:val="17"/>
              </w:rPr>
              <w:t>Record a hardware fingerprint per artefact; enforce hardware eligibility and offer the largest eligible variant.</w:t>
            </w:r>
          </w:p>
        </w:tc>
      </w:tr>
      <w:tr>
        <w:tc>
          <w:tcPr>
            <w:tcW w:type="dxa" w:w="4896"/>
            <w:tcMar>
              <w:top w:w="60" w:type="dxa"/>
              <w:bottom w:w="60" w:type="dxa"/>
              <w:start w:w="90" w:type="dxa"/>
              <w:end w:w="90" w:type="dxa"/>
            </w:tcMar>
            <w:shd w:val="clear" w:fill="EEF3F8"/>
          </w:tcPr>
          <w:p>
            <w:r>
              <w:rPr>
                <w:b w:val="0"/>
                <w:sz w:val="17"/>
              </w:rPr>
              <w:t>FR-MS-6</w:t>
            </w:r>
          </w:p>
        </w:tc>
        <w:tc>
          <w:tcPr>
            <w:tcW w:type="dxa" w:w="4896"/>
            <w:tcMar>
              <w:top w:w="60" w:type="dxa"/>
              <w:bottom w:w="60" w:type="dxa"/>
              <w:start w:w="90" w:type="dxa"/>
              <w:end w:w="90" w:type="dxa"/>
            </w:tcMar>
            <w:shd w:val="clear" w:fill="EEF3F8"/>
          </w:tcPr>
          <w:p>
            <w:r>
              <w:rPr>
                <w:b w:val="0"/>
                <w:sz w:val="17"/>
              </w:rPr>
              <w:t>Capture and enforce per-model licence terms; never bundle non-OSI weights into the OSS core.</w:t>
            </w:r>
          </w:p>
        </w:tc>
      </w:tr>
      <w:tr>
        <w:tc>
          <w:tcPr>
            <w:tcW w:type="dxa" w:w="4896"/>
            <w:tcMar>
              <w:top w:w="60" w:type="dxa"/>
              <w:bottom w:w="60" w:type="dxa"/>
              <w:start w:w="90" w:type="dxa"/>
              <w:end w:w="90" w:type="dxa"/>
            </w:tcMar>
            <w:shd w:val="clear" w:fill="FFFFFF"/>
          </w:tcPr>
          <w:p>
            <w:r>
              <w:rPr>
                <w:b w:val="0"/>
                <w:sz w:val="17"/>
              </w:rPr>
              <w:t>FR-MS-7</w:t>
            </w:r>
          </w:p>
        </w:tc>
        <w:tc>
          <w:tcPr>
            <w:tcW w:type="dxa" w:w="4896"/>
            <w:tcMar>
              <w:top w:w="60" w:type="dxa"/>
              <w:bottom w:w="60" w:type="dxa"/>
              <w:start w:w="90" w:type="dxa"/>
              <w:end w:w="90" w:type="dxa"/>
            </w:tcMar>
            <w:shd w:val="clear" w:fill="FFFFFF"/>
          </w:tcPr>
          <w:p>
            <w:r>
              <w:rPr>
                <w:b w:val="0"/>
                <w:sz w:val="17"/>
              </w:rPr>
              <w:t>Support GLM, Nemotron, and Gemma via per-family adapters behind the unchanged inference contract.</w:t>
            </w:r>
          </w:p>
        </w:tc>
      </w:tr>
      <w:tr>
        <w:tc>
          <w:tcPr>
            <w:tcW w:type="dxa" w:w="4896"/>
            <w:tcMar>
              <w:top w:w="60" w:type="dxa"/>
              <w:bottom w:w="60" w:type="dxa"/>
              <w:start w:w="90" w:type="dxa"/>
              <w:end w:w="90" w:type="dxa"/>
            </w:tcMar>
            <w:shd w:val="clear" w:fill="EEF3F8"/>
          </w:tcPr>
          <w:p>
            <w:r>
              <w:rPr>
                <w:b w:val="0"/>
                <w:sz w:val="17"/>
              </w:rPr>
              <w:t>FR-MS-8</w:t>
            </w:r>
          </w:p>
        </w:tc>
        <w:tc>
          <w:tcPr>
            <w:tcW w:type="dxa" w:w="4896"/>
            <w:tcMar>
              <w:top w:w="60" w:type="dxa"/>
              <w:bottom w:w="60" w:type="dxa"/>
              <w:start w:w="90" w:type="dxa"/>
              <w:end w:w="90" w:type="dxa"/>
            </w:tcMar>
            <w:shd w:val="clear" w:fill="EEF3F8"/>
          </w:tcPr>
          <w:p>
            <w:r>
              <w:rPr>
                <w:b w:val="0"/>
                <w:sz w:val="17"/>
              </w:rPr>
              <w:t>Route inference per request by workload class, hardware eligibility, and governance policy; log every selection.</w:t>
            </w:r>
          </w:p>
        </w:tc>
      </w:tr>
    </w:tbl>
    <w:p/>
    <w:p>
      <w:pPr>
        <w:pStyle w:val="Heading1"/>
      </w:pPr>
      <w:r>
        <w:t>10. Residual Risks After Resolution</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Risk</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Mitigation</w:t>
            </w:r>
          </w:p>
        </w:tc>
      </w:tr>
      <w:tr>
        <w:tc>
          <w:tcPr>
            <w:tcW w:type="dxa" w:w="3264"/>
            <w:tcMar>
              <w:top w:w="60" w:type="dxa"/>
              <w:bottom w:w="60" w:type="dxa"/>
              <w:start w:w="90" w:type="dxa"/>
              <w:end w:w="90" w:type="dxa"/>
            </w:tcMar>
            <w:shd w:val="clear" w:fill="FFFFFF"/>
          </w:tcPr>
          <w:p>
            <w:r>
              <w:rPr>
                <w:b w:val="0"/>
                <w:sz w:val="17"/>
              </w:rPr>
              <w:t>Staging enclave compromise (it touches untrusted upstream)</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Isolate staging from the enclosure; only signed bundles cross; staging has no enclosure credentials. `[NFR-SEC-1]`</w:t>
            </w:r>
          </w:p>
        </w:tc>
      </w:tr>
      <w:tr>
        <w:tc>
          <w:tcPr>
            <w:tcW w:type="dxa" w:w="3264"/>
            <w:tcMar>
              <w:top w:w="60" w:type="dxa"/>
              <w:bottom w:w="60" w:type="dxa"/>
              <w:start w:w="90" w:type="dxa"/>
              <w:end w:w="90" w:type="dxa"/>
            </w:tcMar>
            <w:shd w:val="clear" w:fill="EEF3F8"/>
          </w:tcPr>
          <w:p>
            <w:r>
              <w:rPr>
                <w:b w:val="0"/>
                <w:sz w:val="17"/>
              </w:rPr>
              <w:t>Upstream weight tampering before fetch</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Verify native signatures/hashes; re-sign only after verification; record unverifiable status for risk acceptance. `[FR-MS-2]`</w:t>
            </w:r>
          </w:p>
        </w:tc>
      </w:tr>
      <w:tr>
        <w:tc>
          <w:tcPr>
            <w:tcW w:type="dxa" w:w="3264"/>
            <w:tcMar>
              <w:top w:w="60" w:type="dxa"/>
              <w:bottom w:w="60" w:type="dxa"/>
              <w:start w:w="90" w:type="dxa"/>
              <w:end w:w="90" w:type="dxa"/>
            </w:tcMar>
            <w:shd w:val="clear" w:fill="FFFFFF"/>
          </w:tcPr>
          <w:p>
            <w:r>
              <w:rPr>
                <w:b w:val="0"/>
                <w:sz w:val="17"/>
              </w:rPr>
              <w:t>Licence drift (upstream re-licences a model)</w:t>
            </w:r>
          </w:p>
        </w:tc>
        <w:tc>
          <w:tcPr>
            <w:tcW w:type="dxa" w:w="3264"/>
            <w:tcMar>
              <w:top w:w="60" w:type="dxa"/>
              <w:bottom w:w="60" w:type="dxa"/>
              <w:start w:w="90" w:type="dxa"/>
              <w:end w:w="90" w:type="dxa"/>
            </w:tcMar>
            <w:shd w:val="clear" w:fill="FFFFFF"/>
          </w:tcPr>
          <w:p>
            <w:r>
              <w:rPr>
                <w:b w:val="0"/>
                <w:sz w:val="17"/>
              </w:rPr>
              <w:t>Low</w:t>
            </w:r>
          </w:p>
        </w:tc>
        <w:tc>
          <w:tcPr>
            <w:tcW w:type="dxa" w:w="3264"/>
            <w:tcMar>
              <w:top w:w="60" w:type="dxa"/>
              <w:bottom w:w="60" w:type="dxa"/>
              <w:start w:w="90" w:type="dxa"/>
              <w:end w:w="90" w:type="dxa"/>
            </w:tcMar>
            <w:shd w:val="clear" w:fill="FFFFFF"/>
          </w:tcPr>
          <w:p>
            <w:r>
              <w:rPr>
                <w:b w:val="0"/>
                <w:sz w:val="17"/>
              </w:rPr>
              <w:t>Licence captured at stage time is immutable in the registry; re-evaluation on any refresh. `[FR-MS-6]`</w:t>
            </w:r>
          </w:p>
        </w:tc>
      </w:tr>
      <w:tr>
        <w:tc>
          <w:tcPr>
            <w:tcW w:type="dxa" w:w="3264"/>
            <w:tcMar>
              <w:top w:w="60" w:type="dxa"/>
              <w:bottom w:w="60" w:type="dxa"/>
              <w:start w:w="90" w:type="dxa"/>
              <w:end w:w="90" w:type="dxa"/>
            </w:tcMar>
            <w:shd w:val="clear" w:fill="EEF3F8"/>
          </w:tcPr>
          <w:p>
            <w:r>
              <w:rPr>
                <w:b w:val="0"/>
                <w:sz w:val="17"/>
              </w:rPr>
              <w:t>Model-level safety regressions across families</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Per-family baseline + ongoing Evals; revoke on regression. `[NFR-AI-1]`</w:t>
            </w:r>
          </w:p>
        </w:tc>
      </w:tr>
      <w:tr>
        <w:tc>
          <w:tcPr>
            <w:tcW w:type="dxa" w:w="3264"/>
            <w:tcMar>
              <w:top w:w="60" w:type="dxa"/>
              <w:bottom w:w="60" w:type="dxa"/>
              <w:start w:w="90" w:type="dxa"/>
              <w:end w:w="90" w:type="dxa"/>
            </w:tcMar>
            <w:shd w:val="clear" w:fill="FFFFFF"/>
          </w:tcPr>
          <w:p>
            <w:r>
              <w:rPr>
                <w:b w:val="0"/>
                <w:sz w:val="17"/>
              </w:rPr>
              <w:t>Signing-key compromise (custody root)</w:t>
            </w:r>
          </w:p>
        </w:tc>
        <w:tc>
          <w:tcPr>
            <w:tcW w:type="dxa" w:w="3264"/>
            <w:tcMar>
              <w:top w:w="60" w:type="dxa"/>
              <w:bottom w:w="60" w:type="dxa"/>
              <w:start w:w="90" w:type="dxa"/>
              <w:end w:w="90" w:type="dxa"/>
            </w:tcMar>
            <w:shd w:val="clear" w:fill="FFFFFF"/>
          </w:tcPr>
          <w:p>
            <w:r>
              <w:rPr>
                <w:b w:val="0"/>
                <w:sz w:val="17"/>
              </w:rPr>
              <w:t>High</w:t>
            </w:r>
          </w:p>
        </w:tc>
        <w:tc>
          <w:tcPr>
            <w:tcW w:type="dxa" w:w="3264"/>
            <w:tcMar>
              <w:top w:w="60" w:type="dxa"/>
              <w:bottom w:w="60" w:type="dxa"/>
              <w:start w:w="90" w:type="dxa"/>
              <w:end w:w="90" w:type="dxa"/>
            </w:tcMar>
            <w:shd w:val="clear" w:fill="FFFFFF"/>
          </w:tcPr>
          <w:p>
            <w:r>
              <w:rPr>
                <w:b w:val="0"/>
                <w:sz w:val="17"/>
              </w:rPr>
              <w:t>HSM-sealed Akuma signing key, rotation, threshold signing (shared with Bifrost). `[NFR-PQ-2]`</w:t>
            </w:r>
          </w:p>
        </w:tc>
      </w:tr>
    </w:tbl>
    <w:p/>
    <w:p>
      <w:pPr>
        <w:shd w:val="clear" w:fill="EEF3F8"/>
        <w:pBdr>
          <w:left w:val="single" w:sz="18" w:space="8" w:color="1E7A46"/>
        </w:pBdr>
        <w:ind w:left="144"/>
      </w:pPr>
      <w:r>
        <w:rPr>
          <w:sz w:val="21"/>
        </w:rPr>
      </w:r>
      <w:r>
        <w:rPr>
          <w:b/>
          <w:sz w:val="21"/>
        </w:rPr>
        <w:t>Net effect.</w:t>
      </w:r>
      <w:r>
        <w:rPr>
          <w:sz w:val="21"/>
        </w:rPr>
        <w:t xml:space="preserve"> The original *medium-severity, open* gap (“local model-weight provenance”) is </w:t>
      </w:r>
      <w:r>
        <w:rPr>
          <w:b/>
          <w:sz w:val="21"/>
        </w:rPr>
        <w:t>closed</w:t>
      </w:r>
      <w:r>
        <w:rPr>
          <w:sz w:val="21"/>
        </w:rPr>
        <w:t xml:space="preserve">. Its residuals are lower-order and are managed by controls the suite already specifies (HSM-sealed keys, Bifrost signing, Evals, zero-trust isolation). </w:t>
      </w:r>
      <w:r>
        <w:rPr>
          <w:rFonts w:ascii="Consolas" w:hAnsi="Consolas"/>
          <w:color w:val="0B4884"/>
          <w:sz w:val="18"/>
        </w:rPr>
        <w:t>[NFR-PQ-2]</w:t>
      </w:r>
      <w:r>
        <w:rPr>
          <w:sz w:val="21"/>
        </w:rPr>
        <w:t xml:space="preserve"> </w:t>
      </w:r>
      <w:r>
        <w:rPr>
          <w:rFonts w:ascii="Consolas" w:hAnsi="Consolas"/>
          <w:color w:val="0B4884"/>
          <w:sz w:val="18"/>
        </w:rPr>
        <w:t>[NFR-PQ-3]</w:t>
      </w:r>
      <w:r>
        <w:rPr>
          <w:sz w:val="21"/>
        </w:rPr>
      </w:r>
    </w:p>
    <w:p>
      <w:pPr>
        <w:pStyle w:val="Heading1"/>
      </w:pPr>
      <w:r>
        <w:t>11. Impact on Forge, Bifrost &amp; Heimdall</w:t>
      </w:r>
    </w:p>
    <w:p>
      <w:r>
        <w:rPr>
          <w:sz w:val="21"/>
        </w:rPr>
        <w:t>Because the resolution lives behind Mimir's unchanged inference contract, the consuming products are unaffected in their integration surface. The only additions are capabilities they inherit for free:</w:t>
      </w:r>
    </w:p>
    <w:p>
      <w:pPr>
        <w:pStyle w:val="ListBullet"/>
      </w:pPr>
      <w:r>
        <w:rPr>
          <w:sz w:val="21"/>
        </w:rPr>
      </w:r>
      <w:r>
        <w:rPr>
          <w:b/>
          <w:sz w:val="21"/>
        </w:rPr>
        <w:t>Forge</w:t>
      </w:r>
      <w:r>
        <w:rPr>
          <w:sz w:val="21"/>
        </w:rPr>
        <w:t xml:space="preserve"> may now request a fast, efficient model for transform suggestions and a stronger model for complex mappings — same API. </w:t>
      </w:r>
      <w:r>
        <w:rPr>
          <w:rFonts w:ascii="Consolas" w:hAnsi="Consolas"/>
          <w:color w:val="0B4884"/>
          <w:sz w:val="18"/>
        </w:rPr>
        <w:t>[FR-MS-8]</w:t>
      </w:r>
      <w:r>
        <w:rPr>
          <w:sz w:val="21"/>
        </w:rPr>
      </w:r>
    </w:p>
    <w:p>
      <w:pPr>
        <w:pStyle w:val="ListBullet"/>
      </w:pPr>
      <w:r>
        <w:rPr>
          <w:sz w:val="21"/>
        </w:rPr>
      </w:r>
      <w:r>
        <w:rPr>
          <w:b/>
          <w:sz w:val="21"/>
        </w:rPr>
        <w:t>Bifrost</w:t>
      </w:r>
      <w:r>
        <w:rPr>
          <w:sz w:val="21"/>
        </w:rPr>
        <w:t xml:space="preserve"> gains a second role: it is the transport for signed model bundles (reusing its signed-bundle workflow) in addition to consuming inference for release analysis. </w:t>
      </w:r>
      <w:r>
        <w:rPr>
          <w:rFonts w:ascii="Consolas" w:hAnsi="Consolas"/>
          <w:color w:val="0B4884"/>
          <w:sz w:val="18"/>
        </w:rPr>
        <w:t>[FR-B-5]</w:t>
      </w:r>
      <w:r>
        <w:rPr>
          <w:sz w:val="21"/>
        </w:rPr>
      </w:r>
    </w:p>
    <w:p>
      <w:pPr>
        <w:pStyle w:val="ListBullet"/>
      </w:pPr>
      <w:r>
        <w:rPr>
          <w:sz w:val="21"/>
        </w:rPr>
      </w:r>
      <w:r>
        <w:rPr>
          <w:b/>
          <w:sz w:val="21"/>
        </w:rPr>
        <w:t>Heimdall</w:t>
      </w:r>
      <w:r>
        <w:rPr>
          <w:sz w:val="21"/>
        </w:rPr>
        <w:t xml:space="preserve"> may route course-of-action generation to the largest eligible reasoning model while classification uses a faster one — same API, governed by policy. </w:t>
      </w:r>
      <w:r>
        <w:rPr>
          <w:rFonts w:ascii="Consolas" w:hAnsi="Consolas"/>
          <w:color w:val="0B4884"/>
          <w:sz w:val="18"/>
        </w:rPr>
        <w:t>[FR-MS-8]</w:t>
      </w:r>
      <w:r>
        <w:rPr>
          <w:sz w:val="21"/>
        </w:rPr>
      </w:r>
    </w:p>
    <w:p>
      <w:pPr>
        <w:pStyle w:val="ListBullet"/>
      </w:pPr>
      <w:r>
        <w:rPr>
          <w:sz w:val="21"/>
        </w:rPr>
      </w:r>
      <w:r>
        <w:rPr>
          <w:b/>
          <w:sz w:val="21"/>
        </w:rPr>
        <w:t>All three</w:t>
      </w:r>
      <w:r>
        <w:rPr>
          <w:sz w:val="21"/>
        </w:rPr>
        <w:t xml:space="preserve"> retain their defined degraded mode: if no model is loadable, they operate without AI exactly as specified in their SADs. </w:t>
      </w:r>
      <w:r>
        <w:rPr>
          <w:rFonts w:ascii="Consolas" w:hAnsi="Consolas"/>
          <w:color w:val="0B4884"/>
          <w:sz w:val="18"/>
        </w:rPr>
        <w:t>[DD-6]</w:t>
      </w:r>
      <w:r>
        <w:rPr>
          <w:sz w:val="21"/>
        </w:rPr>
      </w:r>
    </w:p>
    <w:p>
      <w:pPr>
        <w:pStyle w:val="Heading1"/>
      </w:pPr>
      <w:r>
        <w:t>12. Glossary Delta</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Term</w:t>
            </w:r>
          </w:p>
        </w:tc>
        <w:tc>
          <w:tcPr>
            <w:tcW w:type="dxa" w:w="4896"/>
            <w:shd w:val="clear" w:fill="0B4884"/>
            <w:tcMar>
              <w:top w:w="60" w:type="dxa"/>
              <w:bottom w:w="60" w:type="dxa"/>
              <w:start w:w="90" w:type="dxa"/>
              <w:end w:w="90" w:type="dxa"/>
            </w:tcMar>
          </w:tcPr>
          <w:p>
            <w:r>
              <w:rPr>
                <w:b/>
                <w:color w:val="FFFFFF"/>
                <w:sz w:val="18"/>
              </w:rPr>
              <w:t>Definition</w:t>
            </w:r>
          </w:p>
        </w:tc>
      </w:tr>
      <w:tr>
        <w:tc>
          <w:tcPr>
            <w:tcW w:type="dxa" w:w="4896"/>
            <w:tcMar>
              <w:top w:w="60" w:type="dxa"/>
              <w:bottom w:w="60" w:type="dxa"/>
              <w:start w:w="90" w:type="dxa"/>
              <w:end w:w="90" w:type="dxa"/>
            </w:tcMar>
            <w:shd w:val="clear" w:fill="FFFFFF"/>
          </w:tcPr>
          <w:p>
            <w:r>
              <w:rPr>
                <w:b w:val="0"/>
                <w:sz w:val="17"/>
              </w:rPr>
              <w:t>Model bundle (.mbundle)</w:t>
            </w:r>
          </w:p>
        </w:tc>
        <w:tc>
          <w:tcPr>
            <w:tcW w:type="dxa" w:w="4896"/>
            <w:tcMar>
              <w:top w:w="60" w:type="dxa"/>
              <w:bottom w:w="60" w:type="dxa"/>
              <w:start w:w="90" w:type="dxa"/>
              <w:end w:w="90" w:type="dxa"/>
            </w:tcMar>
            <w:shd w:val="clear" w:fill="FFFFFF"/>
          </w:tcPr>
          <w:p>
            <w:r>
              <w:rPr>
                <w:b w:val="0"/>
                <w:sz w:val="17"/>
              </w:rPr>
              <w:t>A signed package of weights + manifest + SBOM + ML-DSA signature that crosses the air gap via Bifrost.</w:t>
            </w:r>
          </w:p>
        </w:tc>
      </w:tr>
      <w:tr>
        <w:tc>
          <w:tcPr>
            <w:tcW w:type="dxa" w:w="4896"/>
            <w:tcMar>
              <w:top w:w="60" w:type="dxa"/>
              <w:bottom w:w="60" w:type="dxa"/>
              <w:start w:w="90" w:type="dxa"/>
              <w:end w:w="90" w:type="dxa"/>
            </w:tcMar>
            <w:shd w:val="clear" w:fill="EEF3F8"/>
          </w:tcPr>
          <w:p>
            <w:r>
              <w:rPr>
                <w:b w:val="0"/>
                <w:sz w:val="17"/>
              </w:rPr>
              <w:t>Staging enclave</w:t>
            </w:r>
          </w:p>
        </w:tc>
        <w:tc>
          <w:tcPr>
            <w:tcW w:type="dxa" w:w="4896"/>
            <w:tcMar>
              <w:top w:w="60" w:type="dxa"/>
              <w:bottom w:w="60" w:type="dxa"/>
              <w:start w:w="90" w:type="dxa"/>
              <w:end w:w="90" w:type="dxa"/>
            </w:tcMar>
            <w:shd w:val="clear" w:fill="EEF3F8"/>
          </w:tcPr>
          <w:p>
            <w:r>
              <w:rPr>
                <w:b w:val="0"/>
                <w:sz w:val="17"/>
              </w:rPr>
              <w:t>A network-connected, isolated environment that fetches, verifies, licences, evaluates, and re-signs models before they enter the enclosure.</w:t>
            </w:r>
          </w:p>
        </w:tc>
      </w:tr>
      <w:tr>
        <w:tc>
          <w:tcPr>
            <w:tcW w:type="dxa" w:w="4896"/>
            <w:tcMar>
              <w:top w:w="60" w:type="dxa"/>
              <w:bottom w:w="60" w:type="dxa"/>
              <w:start w:w="90" w:type="dxa"/>
              <w:end w:w="90" w:type="dxa"/>
            </w:tcMar>
            <w:shd w:val="clear" w:fill="FFFFFF"/>
          </w:tcPr>
          <w:p>
            <w:r>
              <w:rPr>
                <w:b w:val="0"/>
                <w:sz w:val="17"/>
              </w:rPr>
              <w:t>Model Registry</w:t>
            </w:r>
          </w:p>
        </w:tc>
        <w:tc>
          <w:tcPr>
            <w:tcW w:type="dxa" w:w="4896"/>
            <w:tcMar>
              <w:top w:w="60" w:type="dxa"/>
              <w:bottom w:w="60" w:type="dxa"/>
              <w:start w:w="90" w:type="dxa"/>
              <w:end w:w="90" w:type="dxa"/>
            </w:tcMar>
            <w:shd w:val="clear" w:fill="FFFFFF"/>
          </w:tcPr>
          <w:p>
            <w:r>
              <w:rPr>
                <w:b w:val="0"/>
                <w:sz w:val="17"/>
              </w:rPr>
              <w:t>The in-enclosure system of record for all loadable model artefacts and their provenance, licence, evals, and hardware eligibility.</w:t>
            </w:r>
          </w:p>
        </w:tc>
      </w:tr>
      <w:tr>
        <w:tc>
          <w:tcPr>
            <w:tcW w:type="dxa" w:w="4896"/>
            <w:tcMar>
              <w:top w:w="60" w:type="dxa"/>
              <w:bottom w:w="60" w:type="dxa"/>
              <w:start w:w="90" w:type="dxa"/>
              <w:end w:w="90" w:type="dxa"/>
            </w:tcMar>
            <w:shd w:val="clear" w:fill="EEF3F8"/>
          </w:tcPr>
          <w:p>
            <w:r>
              <w:rPr>
                <w:b w:val="0"/>
                <w:sz w:val="17"/>
              </w:rPr>
              <w:t>Model Abstraction Layer</w:t>
            </w:r>
          </w:p>
        </w:tc>
        <w:tc>
          <w:tcPr>
            <w:tcW w:type="dxa" w:w="4896"/>
            <w:tcMar>
              <w:top w:w="60" w:type="dxa"/>
              <w:bottom w:w="60" w:type="dxa"/>
              <w:start w:w="90" w:type="dxa"/>
              <w:end w:w="90" w:type="dxa"/>
            </w:tcMar>
            <w:shd w:val="clear" w:fill="EEF3F8"/>
          </w:tcPr>
          <w:p>
            <w:r>
              <w:rPr>
                <w:b w:val="0"/>
                <w:sz w:val="17"/>
              </w:rPr>
              <w:t>The adapter+router layer that serves GLM, Nemotron, and Gemma behind Mimir's unchanged inference contract.</w:t>
            </w:r>
          </w:p>
        </w:tc>
      </w:tr>
      <w:tr>
        <w:tc>
          <w:tcPr>
            <w:tcW w:type="dxa" w:w="4896"/>
            <w:tcMar>
              <w:top w:w="60" w:type="dxa"/>
              <w:bottom w:w="60" w:type="dxa"/>
              <w:start w:w="90" w:type="dxa"/>
              <w:end w:w="90" w:type="dxa"/>
            </w:tcMar>
            <w:shd w:val="clear" w:fill="FFFFFF"/>
          </w:tcPr>
          <w:p>
            <w:r>
              <w:rPr>
                <w:b w:val="0"/>
                <w:sz w:val="17"/>
              </w:rPr>
              <w:t>Verify-on-load invariant</w:t>
            </w:r>
          </w:p>
        </w:tc>
        <w:tc>
          <w:tcPr>
            <w:tcW w:type="dxa" w:w="4896"/>
            <w:tcMar>
              <w:top w:w="60" w:type="dxa"/>
              <w:bottom w:w="60" w:type="dxa"/>
              <w:start w:w="90" w:type="dxa"/>
              <w:end w:w="90" w:type="dxa"/>
            </w:tcMar>
            <w:shd w:val="clear" w:fill="FFFFFF"/>
          </w:tcPr>
          <w:p>
            <w:r>
              <w:rPr>
                <w:b w:val="0"/>
                <w:sz w:val="17"/>
              </w:rPr>
              <w:t>The rule that no model loads unless signature, licence, revocation status, and hardware eligibility all pass.</w:t>
            </w:r>
          </w:p>
        </w:tc>
      </w:tr>
      <w:tr>
        <w:tc>
          <w:tcPr>
            <w:tcW w:type="dxa" w:w="4896"/>
            <w:tcMar>
              <w:top w:w="60" w:type="dxa"/>
              <w:bottom w:w="60" w:type="dxa"/>
              <w:start w:w="90" w:type="dxa"/>
              <w:end w:w="90" w:type="dxa"/>
            </w:tcMar>
            <w:shd w:val="clear" w:fill="EEF3F8"/>
          </w:tcPr>
          <w:p>
            <w:r>
              <w:rPr>
                <w:b w:val="0"/>
                <w:sz w:val="17"/>
              </w:rPr>
              <w:t>Custody transfer</w:t>
            </w:r>
          </w:p>
        </w:tc>
        <w:tc>
          <w:tcPr>
            <w:tcW w:type="dxa" w:w="4896"/>
            <w:tcMar>
              <w:top w:w="60" w:type="dxa"/>
              <w:bottom w:w="60" w:type="dxa"/>
              <w:start w:w="90" w:type="dxa"/>
              <w:end w:w="90" w:type="dxa"/>
            </w:tcMar>
            <w:shd w:val="clear" w:fill="EEF3F8"/>
          </w:tcPr>
          <w:p>
            <w:r>
              <w:rPr>
                <w:b w:val="0"/>
                <w:sz w:val="17"/>
              </w:rPr>
              <w:t>Re-signing an externally-sourced artefact under Akuma's key so the enclosure trusts only the Akuma root, not the upstream.</w:t>
            </w:r>
          </w:p>
        </w:tc>
      </w:tr>
      <w:tr>
        <w:tc>
          <w:tcPr>
            <w:tcW w:type="dxa" w:w="4896"/>
            <w:tcMar>
              <w:top w:w="60" w:type="dxa"/>
              <w:bottom w:w="60" w:type="dxa"/>
              <w:start w:w="90" w:type="dxa"/>
              <w:end w:w="90" w:type="dxa"/>
            </w:tcMar>
            <w:shd w:val="clear" w:fill="FFFFFF"/>
          </w:tcPr>
          <w:p>
            <w:r>
              <w:rPr>
                <w:b w:val="0"/>
                <w:sz w:val="17"/>
              </w:rPr>
              <w:t>Mimir</w:t>
            </w:r>
          </w:p>
        </w:tc>
        <w:tc>
          <w:tcPr>
            <w:tcW w:type="dxa" w:w="4896"/>
            <w:tcMar>
              <w:top w:w="60" w:type="dxa"/>
              <w:bottom w:w="60" w:type="dxa"/>
              <w:start w:w="90" w:type="dxa"/>
              <w:end w:w="90" w:type="dxa"/>
            </w:tcMar>
            <w:shd w:val="clear" w:fill="FFFFFF"/>
          </w:tcPr>
          <w:p>
            <w:r>
              <w:rPr>
                <w:b w:val="0"/>
                <w:sz w:val="17"/>
              </w:rPr>
              <w:t>Reasoning/AI product; competitor to Palantir AIP. Local, agentic, self-* generative AI on GLM 5.2. Also the shared inference layer for the other products.</w:t>
            </w:r>
          </w:p>
        </w:tc>
      </w:tr>
      <w:tr>
        <w:tc>
          <w:tcPr>
            <w:tcW w:type="dxa" w:w="4896"/>
            <w:tcMar>
              <w:top w:w="60" w:type="dxa"/>
              <w:bottom w:w="60" w:type="dxa"/>
              <w:start w:w="90" w:type="dxa"/>
              <w:end w:w="90" w:type="dxa"/>
            </w:tcMar>
            <w:shd w:val="clear" w:fill="EEF3F8"/>
          </w:tcPr>
          <w:p>
            <w:r>
              <w:rPr>
                <w:b w:val="0"/>
                <w:sz w:val="17"/>
              </w:rPr>
              <w:t>GLM 5.2</w:t>
            </w:r>
          </w:p>
        </w:tc>
        <w:tc>
          <w:tcPr>
            <w:tcW w:type="dxa" w:w="4896"/>
            <w:tcMar>
              <w:top w:w="60" w:type="dxa"/>
              <w:bottom w:w="60" w:type="dxa"/>
              <w:start w:w="90" w:type="dxa"/>
              <w:end w:w="90" w:type="dxa"/>
            </w:tcMar>
            <w:shd w:val="clear" w:fill="EEF3F8"/>
          </w:tcPr>
          <w:p>
            <w:r>
              <w:rPr>
                <w:b w:val="0"/>
                <w:sz w:val="17"/>
              </w:rPr>
              <w:t>A large language model served locally by Mimir. As of the model-supply resolution, Mimir supports the most advanced locally-runnable variants of three families — GLM, NVIDIA Nemotron, and Google Gemma — selectable per workflow.</w:t>
            </w:r>
          </w:p>
        </w:tc>
      </w:tr>
      <w:tr>
        <w:tc>
          <w:tcPr>
            <w:tcW w:type="dxa" w:w="4896"/>
            <w:tcMar>
              <w:top w:w="60" w:type="dxa"/>
              <w:bottom w:w="60" w:type="dxa"/>
              <w:start w:w="90" w:type="dxa"/>
              <w:end w:w="90" w:type="dxa"/>
            </w:tcMar>
            <w:shd w:val="clear" w:fill="FFFFFF"/>
          </w:tcPr>
          <w:p>
            <w:r>
              <w:rPr>
                <w:b w:val="0"/>
                <w:sz w:val="17"/>
              </w:rPr>
              <w:t>ML-DSA</w:t>
            </w:r>
          </w:p>
        </w:tc>
        <w:tc>
          <w:tcPr>
            <w:tcW w:type="dxa" w:w="4896"/>
            <w:tcMar>
              <w:top w:w="60" w:type="dxa"/>
              <w:bottom w:w="60" w:type="dxa"/>
              <w:start w:w="90" w:type="dxa"/>
              <w:end w:w="90" w:type="dxa"/>
            </w:tcMar>
            <w:shd w:val="clear" w:fill="FFFFFF"/>
          </w:tcPr>
          <w:p>
            <w:r>
              <w:rPr>
                <w:b w:val="0"/>
                <w:sz w:val="17"/>
              </w:rPr>
              <w:t>Module-Lattice Digital Signature Algorithm (Dilithium), NIST FIPS 204.</w:t>
            </w:r>
          </w:p>
        </w:tc>
      </w:tr>
    </w:tbl>
    <w:p/>
    <w:p>
      <w:pPr>
        <w:pStyle w:val="Heading1"/>
      </w:pPr>
      <w:r>
        <w:t>Appendix A — New Diagram Source Index</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Diagram</w:t>
            </w:r>
          </w:p>
        </w:tc>
        <w:tc>
          <w:tcPr>
            <w:tcW w:type="dxa" w:w="3264"/>
            <w:shd w:val="clear" w:fill="0B4884"/>
            <w:tcMar>
              <w:top w:w="60" w:type="dxa"/>
              <w:bottom w:w="60" w:type="dxa"/>
              <w:start w:w="90" w:type="dxa"/>
              <w:end w:w="90" w:type="dxa"/>
            </w:tcMar>
          </w:tcPr>
          <w:p>
            <w:r>
              <w:rPr>
                <w:b/>
                <w:color w:val="FFFFFF"/>
                <w:sz w:val="18"/>
              </w:rPr>
              <w:t>Mermaid</w:t>
            </w:r>
          </w:p>
        </w:tc>
        <w:tc>
          <w:tcPr>
            <w:tcW w:type="dxa" w:w="3264"/>
            <w:shd w:val="clear" w:fill="0B4884"/>
            <w:tcMar>
              <w:top w:w="60" w:type="dxa"/>
              <w:bottom w:w="60" w:type="dxa"/>
              <w:start w:w="90" w:type="dxa"/>
              <w:end w:w="90" w:type="dxa"/>
            </w:tcMar>
          </w:tcPr>
          <w:p>
            <w:r>
              <w:rPr>
                <w:b/>
                <w:color w:val="FFFFFF"/>
                <w:sz w:val="18"/>
              </w:rPr>
              <w:t>draw.io</w:t>
            </w:r>
          </w:p>
        </w:tc>
      </w:tr>
      <w:tr>
        <w:tc>
          <w:tcPr>
            <w:tcW w:type="dxa" w:w="3264"/>
            <w:tcMar>
              <w:top w:w="60" w:type="dxa"/>
              <w:bottom w:w="60" w:type="dxa"/>
              <w:start w:w="90" w:type="dxa"/>
              <w:end w:w="90" w:type="dxa"/>
            </w:tcMar>
            <w:shd w:val="clear" w:fill="FFFFFF"/>
          </w:tcPr>
          <w:p>
            <w:r>
              <w:rPr>
                <w:b w:val="0"/>
                <w:sz w:val="17"/>
              </w:rPr>
              <w:t>Model supply chain</w:t>
            </w:r>
          </w:p>
        </w:tc>
        <w:tc>
          <w:tcPr>
            <w:tcW w:type="dxa" w:w="3264"/>
            <w:tcMar>
              <w:top w:w="60" w:type="dxa"/>
              <w:bottom w:w="60" w:type="dxa"/>
              <w:start w:w="90" w:type="dxa"/>
              <w:end w:w="90" w:type="dxa"/>
            </w:tcMar>
            <w:shd w:val="clear" w:fill="FFFFFF"/>
          </w:tcPr>
          <w:p>
            <w:r>
              <w:rPr>
                <w:b w:val="0"/>
                <w:sz w:val="17"/>
              </w:rPr>
              <w:t>mimir_model_supply.mmd</w:t>
            </w:r>
          </w:p>
        </w:tc>
        <w:tc>
          <w:tcPr>
            <w:tcW w:type="dxa" w:w="3264"/>
            <w:tcMar>
              <w:top w:w="60" w:type="dxa"/>
              <w:bottom w:w="60" w:type="dxa"/>
              <w:start w:w="90" w:type="dxa"/>
              <w:end w:w="90" w:type="dxa"/>
            </w:tcMar>
            <w:shd w:val="clear" w:fill="FFFFFF"/>
          </w:tcPr>
          <w:p>
            <w:r>
              <w:rPr>
                <w:b w:val="0"/>
                <w:sz w:val="17"/>
              </w:rPr>
              <w:t>mimir_model_supply.drawio</w:t>
            </w:r>
          </w:p>
        </w:tc>
      </w:tr>
      <w:tr>
        <w:tc>
          <w:tcPr>
            <w:tcW w:type="dxa" w:w="3264"/>
            <w:tcMar>
              <w:top w:w="60" w:type="dxa"/>
              <w:bottom w:w="60" w:type="dxa"/>
              <w:start w:w="90" w:type="dxa"/>
              <w:end w:w="90" w:type="dxa"/>
            </w:tcMar>
            <w:shd w:val="clear" w:fill="EEF3F8"/>
          </w:tcPr>
          <w:p>
            <w:r>
              <w:rPr>
                <w:b w:val="0"/>
                <w:sz w:val="17"/>
              </w:rPr>
              <w:t>Model Registry data model</w:t>
            </w:r>
          </w:p>
        </w:tc>
        <w:tc>
          <w:tcPr>
            <w:tcW w:type="dxa" w:w="3264"/>
            <w:tcMar>
              <w:top w:w="60" w:type="dxa"/>
              <w:bottom w:w="60" w:type="dxa"/>
              <w:start w:w="90" w:type="dxa"/>
              <w:end w:w="90" w:type="dxa"/>
            </w:tcMar>
            <w:shd w:val="clear" w:fill="EEF3F8"/>
          </w:tcPr>
          <w:p>
            <w:r>
              <w:rPr>
                <w:b w:val="0"/>
                <w:sz w:val="17"/>
              </w:rPr>
              <w:t>mimir_model_registry_er.mmd</w:t>
            </w:r>
          </w:p>
        </w:tc>
        <w:tc>
          <w:tcPr>
            <w:tcW w:type="dxa" w:w="3264"/>
            <w:tcMar>
              <w:top w:w="60" w:type="dxa"/>
              <w:bottom w:w="60" w:type="dxa"/>
              <w:start w:w="90" w:type="dxa"/>
              <w:end w:w="90" w:type="dxa"/>
            </w:tcMar>
            <w:shd w:val="clear" w:fill="EEF3F8"/>
          </w:tcPr>
          <w:p>
            <w:r>
              <w:rPr>
                <w:b w:val="0"/>
                <w:sz w:val="17"/>
              </w:rPr>
              <w:t>mimir_model_registry_er.drawio</w:t>
            </w:r>
          </w:p>
        </w:tc>
      </w:tr>
      <w:tr>
        <w:tc>
          <w:tcPr>
            <w:tcW w:type="dxa" w:w="3264"/>
            <w:tcMar>
              <w:top w:w="60" w:type="dxa"/>
              <w:bottom w:w="60" w:type="dxa"/>
              <w:start w:w="90" w:type="dxa"/>
              <w:end w:w="90" w:type="dxa"/>
            </w:tcMar>
            <w:shd w:val="clear" w:fill="FFFFFF"/>
          </w:tcPr>
          <w:p>
            <w:r>
              <w:rPr>
                <w:b w:val="0"/>
                <w:sz w:val="17"/>
              </w:rPr>
              <w:t>Model abstraction &amp; routing</w:t>
            </w:r>
          </w:p>
        </w:tc>
        <w:tc>
          <w:tcPr>
            <w:tcW w:type="dxa" w:w="3264"/>
            <w:tcMar>
              <w:top w:w="60" w:type="dxa"/>
              <w:bottom w:w="60" w:type="dxa"/>
              <w:start w:w="90" w:type="dxa"/>
              <w:end w:w="90" w:type="dxa"/>
            </w:tcMar>
            <w:shd w:val="clear" w:fill="FFFFFF"/>
          </w:tcPr>
          <w:p>
            <w:r>
              <w:rPr>
                <w:b w:val="0"/>
                <w:sz w:val="17"/>
              </w:rPr>
              <w:t>mimir_model_router.mmd</w:t>
            </w:r>
          </w:p>
        </w:tc>
        <w:tc>
          <w:tcPr>
            <w:tcW w:type="dxa" w:w="3264"/>
            <w:tcMar>
              <w:top w:w="60" w:type="dxa"/>
              <w:bottom w:w="60" w:type="dxa"/>
              <w:start w:w="90" w:type="dxa"/>
              <w:end w:w="90" w:type="dxa"/>
            </w:tcMar>
            <w:shd w:val="clear" w:fill="FFFFFF"/>
          </w:tcPr>
          <w:p>
            <w:r>
              <w:rPr>
                <w:b w:val="0"/>
                <w:sz w:val="17"/>
              </w:rPr>
              <w:t>mimir_model_router.drawio</w:t>
            </w:r>
          </w:p>
        </w:tc>
      </w:tr>
    </w:tbl>
    <w:p/>
    <w:sectPr w:rsidR="00FC693F" w:rsidRPr="0006063C" w:rsidSect="00034616">
      <w:headerReference w:type="default" r:id="rId12"/>
      <w:footerReference w:type="default" r:id="rId13"/>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Akuma Engineering Ltd. — CONFIDENTIAL</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Mimir — Model-Supply Gap Resolution — Solutions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8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68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