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Функциональные требования для модуля 8: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“Коллекции для вдохновения”.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 4 больших окна в ряд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1.1.1 Окна имеют категории, предложенные на основе последних действий пользователя.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1.1.2 Имеют прямоугольный, близкий к квадрату вид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1.1.3 Внутри расположены 4 окошка мозайкой.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1.1.4 Каждое окошко содержит картинку с одной из позиции товаров.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1.1.5 Заголовок большого окна имеет название категории и значок стрелки “вправо”.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1.1.6 Заголовок большого окна справа указывает на количество подобранных товаров для коллекции.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1.1.7 При наведении курсора окошки подсвечиваются.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1.2 Коллекции собраны другими пользователями.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1.3 Клик по окну открывает новую страницу с подобранной коллекцией.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“Уникальные находки от независимых мастеров”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2.1 Имеет 6 категорий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2.2 В виде круглых кнопок с картинкой из категории.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2.3 При наведении курсора не много увеличиваются в размере, создавая эффект “увеличения”.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2.4 При наведении курсора надпись подчёркивается.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2.5 При клике- страница переводит на конкретный товар.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“Популярные категории для подарков”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3.1 .Содержит 5 прямоугольных вертикально расположенных окон со скругленными краями.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3.2 Заставкой картинки является картинка из конкретного товара.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3.3 При клике на картинку происходит переход на новую страницу с изображенным товаром.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3.4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