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08"/>
        <w:gridCol w:w="283"/>
        <w:gridCol w:w="5375"/>
      </w:tblGrid>
      <w:tr>
        <w:trPr>
          <w:trHeight w:val="154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08" w:type="dxa"/>
            <w:textDirection w:val="lrTb"/>
            <w:noWrap w:val="false"/>
          </w:tcPr>
          <w:p>
            <w:pPr>
              <w:rPr>
                <w:rFonts w:ascii="IBM Plex Sans" w:hAnsi="IBM Plex Sans" w:cs="IBM Plex Sans" w:eastAsia="IBM Plex Sans"/>
                <w:highlight w:val="none"/>
              </w:rPr>
            </w:pPr>
            <w:r>
              <w:rPr>
                <w:rFonts w:ascii="IBM Plex Sans" w:hAnsi="IBM Plex Sans" w:cs="IBM Plex Sans" w:eastAsia="IBM Plex Sans"/>
                <w:lang w:val="sr-Latn-RS"/>
              </w:rPr>
            </w:r>
            <w:r>
              <w:rPr>
                <w:rFonts w:ascii="IBM Plex Sans" w:hAnsi="IBM Plex Sans" w:cs="IBM Plex Sans" w:eastAsia="IBM Plex Sans"/>
                <w:lang w:val="sr-Latn-RS"/>
              </w:rPr>
            </w:r>
            <w:r>
              <w:rPr>
                <w:rFonts w:ascii="IBM Plex Sans" w:hAnsi="IBM Plex Sans" w:cs="IBM Plex Sans" w:eastAsia="IBM Plex Sans"/>
                <w:lang w:val="sr-Latn-RS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2058206</wp:posOffset>
                      </wp:positionH>
                      <wp:positionV relativeFrom="paragraph">
                        <wp:posOffset>39687</wp:posOffset>
                      </wp:positionV>
                      <wp:extent cx="849891" cy="871007"/>
                      <wp:effectExtent l="0" t="0" r="0" b="0"/>
                      <wp:wrapSquare wrapText="bothSides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744404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49891" cy="8710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2.1pt;mso-position-horizontal:absolute;mso-position-vertical-relative:text;margin-top:3.1pt;mso-position-vertical:absolute;width:66.9pt;height:68.6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IBM Plex Sans" w:hAnsi="IBM Plex Sans" w:cs="IBM Plex Sans" w:eastAsia="IBM Plex Sans"/>
                <w:lang w:val="sr-Latn-RS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58" w:type="dxa"/>
            <w:vAlign w:val="center"/>
            <w:textDirection w:val="lrTb"/>
            <w:noWrap w:val="false"/>
          </w:tcPr>
          <w:p>
            <w:pPr>
              <w:rPr>
                <w:rFonts w:ascii="IBM Plex Sans" w:hAnsi="IBM Plex Sans" w:cs="IBM Plex Sans" w:eastAsia="IBM Plex Sans"/>
                <w:sz w:val="24"/>
                <w:highlight w:val="none"/>
              </w:rPr>
            </w:pP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  <w:t xml:space="preserve">Prirodno-matematički fakultet</w:t>
            </w: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</w:r>
          </w:p>
          <w:p>
            <w:pPr>
              <w:rPr>
                <w:rFonts w:ascii="IBM Plex Sans" w:hAnsi="IBM Plex Sans" w:cs="IBM Plex Sans" w:eastAsia="IBM Plex Sans"/>
                <w:sz w:val="24"/>
              </w:rPr>
            </w:pP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  <w:t xml:space="preserve">Univerzitet u Kragujevcu</w:t>
            </w: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</w: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</w:r>
          </w:p>
        </w:tc>
      </w:tr>
      <w:tr>
        <w:trPr>
          <w:trHeight w:val="11754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466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IBM Plex Sans" w:hAnsi="IBM Plex Sans" w:cs="IBM Plex Sans" w:eastAsia="IBM Plex Sans"/>
                <w:sz w:val="48"/>
              </w:rPr>
              <w:suppressLineNumbers w:val="0"/>
            </w:pPr>
            <w:r>
              <w:rPr>
                <w:rFonts w:ascii="IBM Plex Sans" w:hAnsi="IBM Plex Sans" w:cs="IBM Plex Sans" w:eastAsia="IBM Plex Sans"/>
                <w:sz w:val="48"/>
                <w:lang w:val="sr-Latn-RS"/>
              </w:rPr>
              <w:t xml:space="preserve">Obrada fotografija na PYNQ Z-2 kartici</w:t>
              <w:br/>
              <w:t xml:space="preserve">i prenosom podataka putem UART porta</w:t>
            </w:r>
            <w:r>
              <w:rPr>
                <w:rFonts w:ascii="IBM Plex Sans" w:hAnsi="IBM Plex Sans" w:cs="IBM Plex Sans" w:eastAsia="IBM Plex Sans"/>
              </w:rPr>
            </w:r>
          </w:p>
          <w:p>
            <w:pPr>
              <w:ind w:left="0"/>
              <w:jc w:val="center"/>
              <w:rPr>
                <w:rFonts w:ascii="IBM Plex Sans" w:hAnsi="IBM Plex Sans" w:cs="IBM Plex Sans" w:eastAsia="IBM Plex Sans"/>
                <w:sz w:val="48"/>
                <w:highlight w:val="none"/>
              </w:rPr>
              <w:suppressLineNumbers w:val="0"/>
            </w:pP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</w:p>
          <w:p>
            <w:pPr>
              <w:ind w:left="0"/>
              <w:jc w:val="center"/>
              <w:rPr>
                <w:rFonts w:ascii="IBM Plex Sans" w:hAnsi="IBM Plex Sans" w:cs="IBM Plex Sans" w:eastAsia="IBM Plex Sans"/>
                <w:sz w:val="24"/>
                <w:highlight w:val="none"/>
              </w:rPr>
              <w:suppressLineNumbers w:val="0"/>
            </w:pPr>
            <w:r>
              <w:rPr>
                <w:rFonts w:ascii="IBM Plex Sans" w:hAnsi="IBM Plex Sans" w:cs="IBM Plex Sans" w:eastAsia="IBM Plex Sans"/>
                <w:sz w:val="48"/>
                <w:lang w:val="sr-Latn-RS"/>
              </w:rPr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  <w:t xml:space="preserve">PROJEKTOVANJE VLSI SISTEMA</w:t>
            </w:r>
            <w:r>
              <w:rPr>
                <w:rFonts w:ascii="IBM Plex Sans" w:hAnsi="IBM Plex Sans" w:cs="IBM Plex Sans" w:eastAsia="IBM Plex Sans"/>
              </w:rPr>
            </w:r>
          </w:p>
          <w:p>
            <w:pPr>
              <w:ind w:left="0"/>
              <w:jc w:val="center"/>
              <w:rPr>
                <w:rFonts w:ascii="IBM Plex Sans" w:hAnsi="IBM Plex Sans" w:cs="IBM Plex Sans" w:eastAsia="IBM Plex Sans"/>
                <w:sz w:val="24"/>
                <w:highlight w:val="none"/>
              </w:rPr>
              <w:suppressLineNumbers w:val="0"/>
            </w:pP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  <w:t xml:space="preserve">PROJEKTNI ZADATAK</w:t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</w:p>
        </w:tc>
      </w:tr>
      <w:tr>
        <w:trPr>
          <w:trHeight w:val="127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1" w:type="dxa"/>
            <w:textDirection w:val="lrTb"/>
            <w:noWrap w:val="false"/>
          </w:tcPr>
          <w:p>
            <w:pPr>
              <w:rPr>
                <w:rFonts w:ascii="IBM Plex Sans" w:hAnsi="IBM Plex Sans" w:cs="IBM Plex Sans" w:eastAsia="IBM Plex Sans"/>
                <w:sz w:val="24"/>
                <w:highlight w:val="none"/>
              </w:rPr>
            </w:pP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  <w:t xml:space="preserve">Profesor:</w:t>
            </w: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</w:r>
          </w:p>
          <w:p>
            <w:pPr>
              <w:rPr>
                <w:rFonts w:ascii="IBM Plex Sans" w:hAnsi="IBM Plex Sans" w:cs="IBM Plex Sans" w:eastAsia="IBM Plex Sans"/>
              </w:rPr>
            </w:pP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  <w:t xml:space="preserve">Aleksandar Peulić</w:t>
            </w:r>
            <w:r>
              <w:rPr>
                <w:rFonts w:ascii="IBM Plex Sans" w:hAnsi="IBM Plex Sans" w:cs="IBM Plex Sans" w:eastAsia="IBM Plex Sans"/>
                <w:highlight w:val="none"/>
                <w:lang w:val="sr-Latn-R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75" w:type="dxa"/>
            <w:textDirection w:val="lrTb"/>
            <w:noWrap w:val="false"/>
          </w:tcPr>
          <w:p>
            <w:pPr>
              <w:rPr>
                <w:rFonts w:ascii="IBM Plex Sans" w:hAnsi="IBM Plex Sans" w:cs="IBM Plex Sans" w:eastAsia="IBM Plex Sans"/>
                <w:sz w:val="24"/>
                <w:highlight w:val="none"/>
              </w:rPr>
            </w:pP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  <w:t xml:space="preserve">Student:</w:t>
            </w:r>
            <w:r>
              <w:rPr>
                <w:rFonts w:ascii="IBM Plex Sans" w:hAnsi="IBM Plex Sans" w:cs="IBM Plex Sans" w:eastAsia="IBM Plex Sans"/>
                <w:sz w:val="24"/>
                <w:lang w:val="sr-Latn-RS"/>
              </w:rPr>
            </w:r>
          </w:p>
          <w:p>
            <w:pPr>
              <w:rPr>
                <w:rFonts w:ascii="IBM Plex Sans" w:hAnsi="IBM Plex Sans" w:cs="IBM Plex Sans" w:eastAsia="IBM Plex Sans"/>
                <w:sz w:val="24"/>
              </w:rPr>
            </w:pP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  <w:t xml:space="preserve">Krunoslav Velfel (49/2018)</w:t>
            </w:r>
            <w:r>
              <w:rPr>
                <w:rFonts w:ascii="IBM Plex Sans" w:hAnsi="IBM Plex Sans" w:cs="IBM Plex Sans" w:eastAsia="IBM Plex Sans"/>
                <w:sz w:val="24"/>
                <w:highlight w:val="none"/>
                <w:lang w:val="sr-Latn-RS"/>
              </w:rPr>
            </w:r>
          </w:p>
        </w:tc>
      </w:tr>
    </w:tbl>
    <w:p>
      <w:pPr>
        <w:shd w:val="nil"/>
        <w:rPr>
          <w:rFonts w:ascii="IBM Plex Sans" w:hAnsi="IBM Plex Sans" w:cs="IBM Plex Sans" w:eastAsia="IBM Plex Sans"/>
        </w:rPr>
      </w:pPr>
      <w:r>
        <w:rPr>
          <w:rFonts w:ascii="IBM Plex Sans" w:hAnsi="IBM Plex Sans" w:cs="IBM Plex Sans" w:eastAsia="IBM Plex Sans"/>
          <w:lang w:val="sr-Latn-RS"/>
        </w:rPr>
        <w:br w:type="page"/>
      </w:r>
      <w:r>
        <w:rPr>
          <w:rFonts w:ascii="IBM Plex Sans" w:hAnsi="IBM Plex Sans" w:cs="IBM Plex Sans" w:eastAsia="IBM Plex Sans"/>
          <w:lang w:val="sr-Latn-RS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IBM Plex Sans" w:hAnsi="IBM Plex Sans" w:cs="IBM Plex Sans" w:eastAsia="IBM Plex Sans"/>
        </w:rPr>
      </w:sdtPr>
      <w:sdtContent>
        <w:p>
          <w:pPr>
            <w:pStyle w:val="179"/>
            <w:tabs>
              <w:tab w:val="right" w:pos="10466" w:leader="dot"/>
            </w:tabs>
            <w:rPr>
              <w:rFonts w:ascii="IBM Plex Sans" w:hAnsi="IBM Plex Sans" w:cs="IBM Plex Sans" w:eastAsia="IBM Plex Sans"/>
              <w:b/>
            </w:rPr>
          </w:pPr>
          <w:r>
            <w:rPr>
              <w:rFonts w:ascii="IBM Plex Sans" w:hAnsi="IBM Plex Sans" w:cs="IBM Plex Sans" w:eastAsia="IBM Plex Sans"/>
              <w:lang w:val="sr-Latn-RS"/>
            </w:rPr>
          </w:r>
          <w:r>
            <w:rPr>
              <w:rFonts w:ascii="IBM Plex Sans" w:hAnsi="IBM Plex Sans" w:cs="IBM Plex Sans" w:eastAsia="IBM Plex Sans"/>
              <w:lang w:val="sr-Latn-RS"/>
            </w:rP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Fonts w:ascii="IBM Plex Sans" w:hAnsi="IBM Plex Sans" w:cs="IBM Plex Sans" w:eastAsia="IBM Plex Sans"/>
            </w:rPr>
          </w:r>
          <w:hyperlink w:tooltip="#_Toc1" w:anchor="_Toc1" w:history="1">
            <w:r>
              <w:rPr>
                <w:rStyle w:val="172"/>
              </w:rPr>
            </w:r>
            <w:r>
              <w:rPr>
                <w:rStyle w:val="172"/>
                <w:rFonts w:ascii="IBM Plex Sans" w:hAnsi="IBM Plex Sans" w:cs="IBM Plex Sans" w:eastAsia="IBM Plex Sans"/>
                <w:b/>
                <w:lang w:val="sr-Latn-RS"/>
              </w:rPr>
              <w:t xml:space="preserve">Uvod</w:t>
            </w:r>
            <w:r>
              <w:rPr>
                <w:rStyle w:val="172"/>
                <w:rFonts w:ascii="IBM Plex Sans" w:hAnsi="IBM Plex Sans" w:cs="IBM Plex Sans" w:eastAsia="IBM Plex Sans"/>
                <w:b/>
                <w:lang w:val="sr-Latn-RS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IBM Plex Sans" w:hAnsi="IBM Plex Sans" w:cs="IBM Plex Sans" w:eastAsia="IBM Plex Sans"/>
              <w:b/>
            </w:rPr>
          </w:r>
        </w:p>
        <w:p>
          <w:pPr>
            <w:pStyle w:val="179"/>
            <w:tabs>
              <w:tab w:val="right" w:pos="10466" w:leader="dot"/>
            </w:tabs>
            <w:rPr>
              <w:rFonts w:ascii="IBM Plex Sans" w:hAnsi="IBM Plex Sans" w:cs="IBM Plex Sans" w:eastAsia="IBM Plex Sans"/>
            </w:rPr>
          </w:pPr>
          <w:hyperlink w:tooltip="#_Toc2" w:anchor="_Toc2" w:history="1">
            <w:r>
              <w:rPr>
                <w:rStyle w:val="172"/>
              </w:rPr>
            </w:r>
            <w:r>
              <w:rPr>
                <w:rStyle w:val="172"/>
                <w:rFonts w:ascii="IBM Plex Sans" w:hAnsi="IBM Plex Sans" w:cs="IBM Plex Sans" w:eastAsia="IBM Plex Sans"/>
                <w:b/>
                <w:lang w:val="sr-Latn-RS"/>
              </w:rPr>
              <w:t xml:space="preserve">Tehnički detalji</w:t>
            </w:r>
            <w:r>
              <w:rPr>
                <w:rStyle w:val="172"/>
                <w:rFonts w:ascii="IBM Plex Sans" w:hAnsi="IBM Plex Sans" w:cs="IBM Plex Sans" w:eastAsia="IBM Plex Sans"/>
                <w:highlight w:val="none"/>
                <w:lang w:val="sr-Latn-R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IBM Plex Sans" w:hAnsi="IBM Plex Sans" w:cs="IBM Plex Sans" w:eastAsia="IBM Plex Sans"/>
            </w:rPr>
          </w:r>
        </w:p>
        <w:p>
          <w:pPr>
            <w:pStyle w:val="179"/>
            <w:tabs>
              <w:tab w:val="right" w:pos="10466" w:leader="dot"/>
            </w:tabs>
            <w:rPr>
              <w:rFonts w:ascii="IBM Plex Sans" w:hAnsi="IBM Plex Sans" w:cs="IBM Plex Sans" w:eastAsia="IBM Plex Sans"/>
            </w:rPr>
          </w:pPr>
          <w:hyperlink w:tooltip="#_Toc3" w:anchor="_Toc3" w:history="1">
            <w:r>
              <w:rPr>
                <w:rStyle w:val="172"/>
              </w:rPr>
            </w:r>
            <w:r>
              <w:rPr>
                <w:rStyle w:val="172"/>
                <w:rFonts w:ascii="IBM Plex Sans" w:hAnsi="IBM Plex Sans" w:cs="IBM Plex Sans" w:eastAsia="IBM Plex Sans"/>
                <w:b/>
                <w:lang w:val="sr-Latn-RS"/>
              </w:rPr>
              <w:t xml:space="preserve">Postupak</w:t>
            </w:r>
            <w:r>
              <w:rPr>
                <w:rStyle w:val="172"/>
                <w:rFonts w:ascii="IBM Plex Sans" w:hAnsi="IBM Plex Sans" w:cs="IBM Plex Sans" w:eastAsia="IBM Plex San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IBM Plex Sans" w:hAnsi="IBM Plex Sans" w:cs="IBM Plex Sans" w:eastAsia="IBM Plex Sans"/>
            </w:rPr>
          </w:r>
        </w:p>
        <w:p>
          <w:pPr>
            <w:pStyle w:val="180"/>
            <w:tabs>
              <w:tab w:val="right" w:pos="10466" w:leader="dot"/>
            </w:tabs>
            <w:rPr>
              <w:rFonts w:ascii="IBM Plex Sans" w:hAnsi="IBM Plex Sans" w:cs="IBM Plex Sans" w:eastAsia="IBM Plex Sans"/>
              <w:b w:val="0"/>
            </w:rPr>
          </w:pPr>
          <w:hyperlink w:tooltip="#_Toc4" w:anchor="_Toc4" w:history="1">
            <w:r>
              <w:rPr>
                <w:rStyle w:val="172"/>
              </w:rPr>
            </w:r>
            <w:r>
              <w:rPr>
                <w:rStyle w:val="172"/>
                <w:rFonts w:ascii="IBM Plex Sans" w:hAnsi="IBM Plex Sans" w:cs="IBM Plex Sans" w:eastAsia="IBM Plex Sans"/>
                <w:b w:val="0"/>
                <w:highlight w:val="none"/>
                <w:lang w:val="sr-Latn-RS"/>
              </w:rPr>
              <w:t xml:space="preserve">KREIRANJE PROJEKTA U VIVADO OKRUŽENJU</w:t>
            </w:r>
            <w:r>
              <w:rPr>
                <w:rStyle w:val="172"/>
                <w:rFonts w:ascii="IBM Plex Sans" w:hAnsi="IBM Plex Sans" w:cs="IBM Plex Sans" w:eastAsia="IBM Plex Sans"/>
                <w:b w:val="0"/>
                <w:highlight w:val="none"/>
                <w:lang w:val="sr-Latn-R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IBM Plex Sans" w:hAnsi="IBM Plex Sans" w:cs="IBM Plex Sans" w:eastAsia="IBM Plex Sans"/>
              <w:b w:val="0"/>
            </w:rPr>
          </w:r>
        </w:p>
        <w:p>
          <w:pPr>
            <w:rPr>
              <w:rFonts w:ascii="IBM Plex Sans" w:hAnsi="IBM Plex Sans" w:cs="IBM Plex Sans" w:eastAsia="IBM Plex Sans"/>
            </w:rPr>
          </w:pPr>
          <w:r>
            <w:rPr>
              <w:rFonts w:ascii="IBM Plex Sans" w:hAnsi="IBM Plex Sans" w:cs="IBM Plex Sans" w:eastAsia="IBM Plex Sans"/>
              <w:lang w:val="sr-Latn-RS"/>
            </w:rPr>
            <w:fldChar w:fldCharType="end"/>
          </w:r>
          <w:r>
            <w:rPr>
              <w:rFonts w:ascii="IBM Plex Sans" w:hAnsi="IBM Plex Sans" w:cs="IBM Plex Sans" w:eastAsia="IBM Plex Sans"/>
              <w:lang w:val="sr-Latn-RS"/>
            </w:rPr>
          </w:r>
          <w:r>
            <w:rPr>
              <w:rFonts w:ascii="IBM Plex Sans" w:hAnsi="IBM Plex Sans" w:cs="IBM Plex Sans" w:eastAsia="IBM Plex Sans"/>
              <w:lang w:val="sr-Latn-RS"/>
            </w:rPr>
          </w:r>
        </w:p>
      </w:sdtContent>
    </w:sdt>
    <w:p>
      <w:pPr>
        <w:shd w:val="nil"/>
        <w:rPr>
          <w:rFonts w:ascii="IBM Plex Sans" w:hAnsi="IBM Plex Sans" w:cs="IBM Plex Sans" w:eastAsia="IBM Plex Sans"/>
        </w:rPr>
      </w:pPr>
      <w:r>
        <w:rPr>
          <w:rFonts w:ascii="IBM Plex Sans" w:hAnsi="IBM Plex Sans" w:cs="IBM Plex Sans" w:eastAsia="IBM Plex Sans"/>
          <w:lang w:val="sr-Latn-RS"/>
        </w:rPr>
        <w:br w:type="page"/>
      </w:r>
      <w:r>
        <w:rPr>
          <w:rFonts w:ascii="IBM Plex Sans" w:hAnsi="IBM Plex Sans" w:cs="IBM Plex Sans" w:eastAsia="IBM Plex Sans"/>
          <w:lang w:val="sr-Latn-RS"/>
        </w:rPr>
      </w:r>
    </w:p>
    <w:p>
      <w:pPr>
        <w:pStyle w:val="11"/>
        <w:ind w:left="0" w:firstLine="0"/>
        <w:rPr>
          <w:rFonts w:ascii="IBM Plex Sans" w:hAnsi="IBM Plex Sans" w:cs="IBM Plex Sans" w:eastAsia="IBM Plex Sans"/>
          <w:b/>
        </w:rPr>
      </w:pPr>
      <w:r/>
      <w:bookmarkStart w:id="1" w:name="_Toc1"/>
      <w:r>
        <w:rPr>
          <w:rFonts w:ascii="IBM Plex Sans" w:hAnsi="IBM Plex Sans" w:cs="IBM Plex Sans" w:eastAsia="IBM Plex Sans"/>
          <w:b/>
          <w:lang w:val="sr-Latn-RS"/>
        </w:rPr>
        <w:t xml:space="preserve">Uvod</w:t>
      </w:r>
      <w:r>
        <w:rPr>
          <w:b/>
        </w:rPr>
      </w:r>
      <w:bookmarkEnd w:id="1"/>
      <w:r>
        <w:rPr>
          <w:b/>
        </w:rPr>
      </w:r>
      <w:bookmarkEnd w:id="1"/>
      <w:r/>
      <w:r>
        <w:rPr>
          <w:rFonts w:ascii="IBM Plex Sans" w:hAnsi="IBM Plex Sans" w:cs="IBM Plex Sans" w:eastAsia="IBM Plex Sans"/>
          <w:b/>
          <w:lang w:val="sr-Latn-RS"/>
        </w:rPr>
      </w:r>
    </w:p>
    <w:p>
      <w:pPr>
        <w:rPr>
          <w:rFonts w:ascii="IBM Plex Sans" w:hAnsi="IBM Plex Sans" w:cs="IBM Plex Sans" w:eastAsia="IBM Plex Sans"/>
          <w:sz w:val="24"/>
          <w:highlight w:val="none"/>
        </w:rPr>
      </w:pPr>
      <w:r>
        <w:rPr>
          <w:rFonts w:ascii="IBM Plex Sans" w:hAnsi="IBM Plex Sans" w:cs="IBM Plex Sans" w:eastAsia="IBM Plex Sans"/>
          <w:sz w:val="24"/>
          <w:lang w:val="sr-Latn-RS"/>
        </w:rPr>
        <w:tab/>
        <w:t xml:space="preserve">Cilj projekta je omogućiti obradu fotografija BMP ekstenzije na ZYNQ 7020 čipu. Datoteka se putem UART (serijskog, SR-232) porta preusmjerava na PYNQ Z-2 karticu, vrši se obrada, te se istim putem obrađena datoteka dostavlja računaru.</w:t>
      </w:r>
      <w:r>
        <w:rPr>
          <w:rFonts w:ascii="IBM Plex Sans" w:hAnsi="IBM Plex Sans" w:cs="IBM Plex Sans" w:eastAsia="IBM Plex Sans"/>
          <w:sz w:val="24"/>
          <w:lang w:val="sr-Latn-RS"/>
        </w:rPr>
      </w:r>
    </w:p>
    <w:p>
      <w:pPr>
        <w:rPr>
          <w:rFonts w:ascii="IBM Plex Sans" w:hAnsi="IBM Plex Sans" w:cs="IBM Plex Sans" w:eastAsia="IBM Plex Sans"/>
          <w:i w:val="0"/>
          <w:sz w:val="24"/>
          <w:highlight w:val="none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ab/>
        <w:t xml:space="preserve">BMP format datoteke kreiran je prvobitno za potrebe operativnog sistema </w:t>
      </w:r>
      <w:r>
        <w:rPr>
          <w:rFonts w:ascii="IBM Plex Sans" w:hAnsi="IBM Plex Sans" w:cs="IBM Plex Sans" w:eastAsia="IBM Plex Sans"/>
          <w:i w:val="0"/>
          <w:sz w:val="24"/>
          <w:highlight w:val="none"/>
          <w:lang w:val="sr-Latn-RS"/>
        </w:rPr>
        <w:t xml:space="preserve">Windows, ali se zbog jednostavnog formata i lakog tumačenja našao u širokoj primjeni. BMP format ne posjeduje ni jedan mehanizam za komprimovanje, budući da se podaci o svakom pikselu pojedinačno pamte u datoteci. Ova karakteristika omogućava da se sadržaj datoteke lako protumači, bez upotrebe složenih parsera, i samim tim olakša obrada fotografije na uređajima slabije računske moći kao što su pojedini programabilni uređaji.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rPr>
          <w:rFonts w:ascii="IBM Plex Sans" w:hAnsi="IBM Plex Sans" w:cs="IBM Plex Sans" w:eastAsia="IBM Plex Sans"/>
          <w:i w:val="0"/>
          <w:sz w:val="24"/>
          <w:highlight w:val="none"/>
        </w:rPr>
      </w:pPr>
      <w:r>
        <w:rPr>
          <w:rFonts w:ascii="IBM Plex Sans" w:hAnsi="IBM Plex Sans" w:cs="IBM Plex Sans" w:eastAsia="IBM Plex Sans"/>
          <w:i w:val="0"/>
          <w:sz w:val="24"/>
          <w:highlight w:val="none"/>
          <w:lang w:val="sr-Latn-RS"/>
        </w:rPr>
        <w:tab/>
        <w:t xml:space="preserve">PYNQ Z-2 dolazi sa ugrađenim mostom (</w:t>
      </w:r>
      <w:r>
        <w:rPr>
          <w:rFonts w:ascii="IBM Plex Sans" w:hAnsi="IBM Plex Sans" w:cs="IBM Plex Sans" w:eastAsia="IBM Plex Sans"/>
          <w:i w:val="0"/>
          <w:sz w:val="24"/>
          <w:highlight w:val="none"/>
          <w:lang w:val="sr-Latn-RS"/>
        </w:rPr>
        <w:t xml:space="preserve">eng.</w:t>
      </w:r>
      <w:r>
        <w:rPr>
          <w:rFonts w:ascii="IBM Plex Sans" w:hAnsi="IBM Plex Sans" w:cs="IBM Plex Sans" w:eastAsia="IBM Plex Sans"/>
          <w:i/>
          <w:sz w:val="24"/>
          <w:highlight w:val="none"/>
          <w:lang w:val="sr-Latn-RS"/>
        </w:rPr>
        <w:t xml:space="preserve"> bridge</w:t>
      </w:r>
      <w:r>
        <w:rPr>
          <w:rFonts w:ascii="IBM Plex Sans" w:hAnsi="IBM Plex Sans" w:cs="IBM Plex Sans" w:eastAsia="IBM Plex Sans"/>
          <w:i w:val="0"/>
          <w:sz w:val="24"/>
          <w:highlight w:val="none"/>
          <w:lang w:val="sr-Latn-RS"/>
        </w:rPr>
        <w:t xml:space="preserve">) za UART komunikaciju. UART, kao asinhroni način prenosa podataka posjeduje brojne nedostatke, a koji će biti obrađeni u nastavku dokumenta. 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Takođe, biće navedeni detalji implementacije i neki od načina kako rješenje može biti efikasnije.</w:t>
      </w:r>
      <w:r>
        <w:rPr>
          <w:rFonts w:ascii="IBM Plex Sans" w:hAnsi="IBM Plex Sans" w:cs="IBM Plex Sans" w:eastAsia="IBM Plex Sans"/>
          <w:highlight w:val="none"/>
          <w:lang w:val="sr-Latn-RS"/>
        </w:rPr>
      </w:r>
      <w:r>
        <w:rPr>
          <w:rFonts w:ascii="IBM Plex Sans" w:hAnsi="IBM Plex Sans" w:cs="IBM Plex Sans" w:eastAsia="IBM Plex Sans"/>
          <w:highlight w:val="none"/>
          <w:lang w:val="sr-Latn-RS"/>
        </w:rPr>
      </w:r>
    </w:p>
    <w:p>
      <w:pPr>
        <w:shd w:val="nil"/>
        <w:rPr>
          <w:rFonts w:ascii="IBM Plex Sans" w:hAnsi="IBM Plex Sans" w:cs="IBM Plex Sans" w:eastAsia="IBM Plex Sans"/>
          <w:sz w:val="24"/>
          <w:highlight w:val="none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br w:type="page"/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11"/>
        <w:rPr>
          <w:rFonts w:ascii="IBM Plex Sans" w:hAnsi="IBM Plex Sans" w:cs="IBM Plex Sans" w:eastAsia="IBM Plex Sans"/>
        </w:rPr>
      </w:pPr>
      <w:r/>
      <w:bookmarkStart w:id="2" w:name="_Toc2"/>
      <w:r>
        <w:rPr>
          <w:rFonts w:ascii="IBM Plex Sans" w:hAnsi="IBM Plex Sans" w:cs="IBM Plex Sans" w:eastAsia="IBM Plex Sans"/>
          <w:b/>
          <w:lang w:val="sr-Latn-RS"/>
        </w:rPr>
        <w:t xml:space="preserve">Tehnički detalji</w:t>
      </w:r>
      <w:r/>
      <w:bookmarkEnd w:id="2"/>
      <w:r/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ind w:firstLine="0"/>
        <w:rPr>
          <w:rFonts w:ascii="IBM Plex Sans" w:hAnsi="IBM Plex Sans" w:cs="IBM Plex Sans" w:eastAsia="IBM Plex Sans"/>
          <w:sz w:val="24"/>
          <w:highlight w:val="none"/>
        </w:rPr>
      </w:pPr>
      <w:r>
        <w:rPr>
          <w:rFonts w:ascii="IBM Plex Sans" w:hAnsi="IBM Plex Sans" w:cs="IBM Plex Sans" w:eastAsia="IBM Plex Sans"/>
          <w:sz w:val="24"/>
          <w:lang w:val="sr-Latn-RS"/>
        </w:rPr>
        <w:t xml:space="preserve">Hardver:</w:t>
      </w:r>
      <w:r>
        <w:rPr>
          <w:rFonts w:ascii="IBM Plex Sans" w:hAnsi="IBM Plex Sans" w:cs="IBM Plex Sans" w:eastAsia="IBM Plex Sans"/>
          <w:sz w:val="24"/>
          <w:lang w:val="sr-Latn-RS"/>
        </w:rPr>
      </w:r>
    </w:p>
    <w:p>
      <w:pPr>
        <w:pStyle w:val="602"/>
        <w:numPr>
          <w:ilvl w:val="0"/>
          <w:numId w:val="1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PYNQ Z-2 kartica sa mikro-USB klablom;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1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računar sa USB portom.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ind w:left="0" w:firstLine="0"/>
        <w:rPr>
          <w:rFonts w:ascii="IBM Plex Sans" w:hAnsi="IBM Plex Sans" w:cs="IBM Plex Sans" w:eastAsia="IBM Plex Sans"/>
          <w:sz w:val="24"/>
          <w:highlight w:val="none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Softver: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Ubuntu 20.04LTS operativni sistem instaliran na računaru;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Vivado 2022.1 (sa drajverima za PYNQ Z-2 karticu);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Vitis IDE 2022.1;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clang C kompajler, v10.0.0;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cbmp biblioteka;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pStyle w:val="602"/>
        <w:numPr>
          <w:ilvl w:val="0"/>
          <w:numId w:val="2"/>
        </w:numPr>
        <w:rPr>
          <w:rFonts w:ascii="IBM Plex Sans" w:hAnsi="IBM Plex Sans" w:cs="IBM Plex Sans" w:eastAsia="IBM Plex Sans"/>
          <w:sz w:val="24"/>
        </w:rPr>
      </w:pPr>
      <w:r>
        <w:rPr>
          <w:rFonts w:ascii="IBM Plex Sans" w:hAnsi="IBM Plex Sans" w:cs="IBM Plex Sans" w:eastAsia="IBM Plex Sans"/>
          <w:sz w:val="24"/>
          <w:highlight w:val="none"/>
          <w:lang w:val="sr-Latn-RS"/>
        </w:rPr>
        <w:t xml:space="preserve">CuteCom softver za serijsku komunikaciju.</w:t>
      </w:r>
      <w:r>
        <w:rPr>
          <w:rFonts w:ascii="IBM Plex Sans" w:hAnsi="IBM Plex Sans" w:cs="IBM Plex Sans" w:eastAsia="IBM Plex Sans"/>
          <w:sz w:val="24"/>
          <w:highlight w:val="none"/>
          <w:lang w:val="sr-Latn-RS"/>
        </w:rPr>
      </w:r>
    </w:p>
    <w:p>
      <w:pPr>
        <w:shd w:val="nil"/>
        <w:rPr>
          <w:rFonts w:ascii="IBM Plex Sans" w:hAnsi="IBM Plex Sans" w:cs="IBM Plex Sans" w:eastAsia="IBM Plex Sans"/>
        </w:rPr>
      </w:pPr>
      <w:r>
        <w:rPr>
          <w:rFonts w:ascii="IBM Plex Sans" w:hAnsi="IBM Plex Sans" w:cs="IBM Plex Sans" w:eastAsia="IBM Plex Sans"/>
          <w:lang w:val="sr-Latn-RS"/>
        </w:rPr>
        <w:br w:type="page"/>
      </w:r>
      <w:r>
        <w:rPr>
          <w:rFonts w:ascii="IBM Plex Sans" w:hAnsi="IBM Plex Sans" w:cs="IBM Plex Sans" w:eastAsia="IBM Plex Sans"/>
          <w:lang w:val="sr-Latn-RS"/>
        </w:rPr>
      </w:r>
    </w:p>
    <w:p>
      <w:pPr>
        <w:pStyle w:val="11"/>
        <w:rPr>
          <w:rFonts w:ascii="IBM Plex Sans" w:hAnsi="IBM Plex Sans" w:cs="IBM Plex Sans" w:eastAsia="IBM Plex Sans"/>
        </w:rPr>
      </w:pPr>
      <w:r/>
      <w:bookmarkStart w:id="3" w:name="_Toc3"/>
      <w:r>
        <w:rPr>
          <w:rFonts w:ascii="IBM Plex Sans" w:hAnsi="IBM Plex Sans" w:cs="IBM Plex Sans" w:eastAsia="IBM Plex Sans"/>
          <w:b/>
          <w:lang w:val="sr-Latn-RS"/>
        </w:rPr>
        <w:t xml:space="preserve">Postupak</w:t>
      </w:r>
      <w:r/>
      <w:bookmarkEnd w:id="3"/>
      <w:r/>
      <w:r>
        <w:rPr>
          <w:rFonts w:ascii="IBM Plex Sans" w:hAnsi="IBM Plex Sans" w:cs="IBM Plex Sans" w:eastAsia="IBM Plex Sans"/>
        </w:rPr>
      </w:r>
    </w:p>
    <w:p>
      <w:pPr>
        <w:pStyle w:val="13"/>
        <w:rPr>
          <w:rFonts w:ascii="IBM Plex Sans" w:hAnsi="IBM Plex Sans" w:cs="IBM Plex Sans" w:eastAsia="IBM Plex Sans"/>
          <w:b w:val="0"/>
          <w:sz w:val="28"/>
        </w:rPr>
      </w:pPr>
      <w:r/>
      <w:bookmarkStart w:id="4" w:name="_Toc4"/>
      <w:r>
        <w:rPr>
          <w:rFonts w:ascii="IBM Plex Sans" w:hAnsi="IBM Plex Sans" w:cs="IBM Plex Sans" w:eastAsia="IBM Plex Sans"/>
          <w:b w:val="0"/>
          <w:sz w:val="28"/>
          <w:highlight w:val="none"/>
          <w:lang w:val="sr-Latn-RS"/>
        </w:rPr>
        <w:t xml:space="preserve">KREIRANJE PROJEKTA U VIVADO OKRUŽENJU</w:t>
      </w:r>
      <w:r>
        <w:rPr>
          <w:b w:val="0"/>
          <w:sz w:val="28"/>
        </w:rPr>
      </w:r>
      <w:bookmarkEnd w:id="4"/>
      <w:r/>
      <w:r>
        <w:rPr>
          <w:rFonts w:ascii="IBM Plex Sans" w:hAnsi="IBM Plex Sans" w:cs="IBM Plex Sans" w:eastAsia="IBM Plex Sans"/>
          <w:b w:val="0"/>
          <w:sz w:val="28"/>
          <w:highlight w:val="none"/>
          <w:lang w:val="sr-Latn-RS"/>
        </w:rPr>
      </w:r>
    </w:p>
    <w:p>
      <w:pPr>
        <w:rPr>
          <w:sz w:val="24"/>
          <w:lang w:val="sr-Latn-RS"/>
        </w:rPr>
      </w:pPr>
      <w:r>
        <w:rPr>
          <w:sz w:val="24"/>
          <w:lang w:val="sr-Latn-RS"/>
        </w:rPr>
      </w:r>
      <w:r>
        <w:rPr>
          <w:sz w:val="24"/>
          <w:lang w:val="sr-Latn-RS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Sans">
    <w:panose1 w:val="020B0503050203000203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180">
    <w:name w:val="toc 2"/>
    <w:basedOn w:val="598"/>
    <w:next w:val="598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181">
    <w:name w:val="toc 3"/>
    <w:basedOn w:val="598"/>
    <w:next w:val="598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182">
    <w:name w:val="toc 4"/>
    <w:basedOn w:val="598"/>
    <w:next w:val="598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183">
    <w:name w:val="toc 5"/>
    <w:basedOn w:val="598"/>
    <w:next w:val="598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184">
    <w:name w:val="toc 6"/>
    <w:basedOn w:val="598"/>
    <w:next w:val="598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185">
    <w:name w:val="toc 7"/>
    <w:basedOn w:val="598"/>
    <w:next w:val="598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186">
    <w:name w:val="toc 8"/>
    <w:basedOn w:val="598"/>
    <w:next w:val="598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187">
    <w:name w:val="toc 9"/>
    <w:basedOn w:val="598"/>
    <w:next w:val="598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2022-09-21T10:05:34Z</dcterms:modified>
</cp:coreProperties>
</file>