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OPERAÇÃO ATLÂNTICO SUL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7A7A7A"/>
          <w:sz w:val="18"/>
          <w:szCs w:val="18"/>
        </w:rPr>
        <w:t xml:space="preserve">VARIANTE DE SEGURANÇA MARÍTIMA (OAS-SM)</w:t>
      </w:r>
    </w:p>
    <w:p>
      <w:pPr>
        <w:pBdr>
          <w:bottom w:val="single" w:color="1F3864" w:sz="12" w:space="1"/>
        </w:pBdr>
        <w:spacing w:after="400" w:before="200"/>
        <w:jc w:val="center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Desenho Experimental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e Esquema de Dados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(PBC / MarSec)</w:t>
      </w:r>
    </w:p>
    <w:p>
      <w:pPr>
        <w:spacing w:after="60" w:before="260"/>
        <w:jc w:val="center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Fatores, métricas, desenhos e dataset da variante de Segurança Marítima</w:t>
      </w:r>
    </w:p>
    <w:p>
      <w:pPr>
        <w:spacing w:after="30" w:before="170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Versão 1.3</w:t>
      </w:r>
    </w:p>
    <w:p>
      <w:pPr>
        <w:spacing w:after="30"/>
        <w:jc w:val="center"/>
      </w:pPr>
      <w:r>
        <w:rPr>
          <w:rFonts w:ascii="Georgia" w:cs="Georgia" w:eastAsia="Georgia" w:hAnsi="Georgia"/>
          <w:color w:val="444444"/>
          <w:sz w:val="20"/>
          <w:szCs w:val="20"/>
        </w:rPr>
        <w:t xml:space="preserve">Documento de Trabalho — OAS-SM/DE</w:t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15"/>
          <w:szCs w:val="15"/>
        </w:rPr>
        <w:t xml:space="preserve">DOCUMENTO FICTÍCIO — USO EDUCACIONAL E DE PESQUISA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Aviso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Este documento integra o cenário fictício da </w:t>
      </w:r>
      <w:r>
        <w:rPr>
          <w:rFonts w:ascii="Georgia" w:cs="Georgia" w:eastAsia="Georgia" w:hAnsi="Georgia"/>
          <w:i/>
          <w:iCs/>
          <w:sz w:val="21"/>
          <w:szCs w:val="21"/>
        </w:rPr>
        <w:t xml:space="preserve">Operação Atlântico Sul</w:t>
      </w:r>
      <w:r>
        <w:rPr>
          <w:rFonts w:ascii="Georgia" w:cs="Georgia" w:eastAsia="Georgia" w:hAnsi="Georgia"/>
          <w:sz w:val="21"/>
          <w:szCs w:val="21"/>
        </w:rPr>
        <w:t xml:space="preserve"> e sua variante de Segurança Marítima (OAS-SM). Foi elaborado exclusivamente para instrução militar e como instrumento de pesquisa em simulação construtiva no contexto do Planejamento Baseado em Capacidades (PBC). A República de Karthavia, suas forças e seus dirigentes são inteiramente fictícios e não guardam correspondência com Estados, organizações ou pessoas reais. O cenário não representa condição esperada ou desejada, nem expressa posição oficial de qualquer instituição.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Os valores paramétricos de ameaças, sensores, defesas e custos indicados neste texto são </w:t>
      </w:r>
      <w:r>
        <w:rPr>
          <w:rFonts w:ascii="Georgia" w:cs="Georgia" w:eastAsia="Georgia" w:hAnsi="Georgia"/>
          <w:i/>
          <w:iCs/>
          <w:sz w:val="21"/>
          <w:szCs w:val="21"/>
        </w:rPr>
        <w:t xml:space="preserve">placeholders</w:t>
      </w:r>
      <w:r>
        <w:rPr>
          <w:rFonts w:ascii="Georgia" w:cs="Georgia" w:eastAsia="Georgia" w:hAnsi="Georgia"/>
          <w:sz w:val="21"/>
          <w:szCs w:val="21"/>
        </w:rPr>
        <w:t xml:space="preserve"> de projeto, a serem substituídos por dados validados por especialistas antes de qualquer uso analítico conclusivo. A denominação e as jurisdições das estações de comando seguem a organização de referência adotada no projeto.</w:t>
      </w: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  Propósito Analítico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Este documento especifica como a variante OAS-SM gera dados para a análise estatística no contexto do Planejamento Baseado em Capacidades. Mantém-se a lógica dual do projeto — o mesmo motor serve ao modo interativo (humano) e ao modo batch (agentes doutrinários) — e a estrutura de saída (uma linha por partida) e o pipeline Jamovi/R já estabelecidos. Alteram-se os fatores sob avaliação, o papel do ISR, o conjunto de métricas e o esquema de dados, para refletir as duas trilhas de ameaça (defesa e constabular) e a estrutura de C2.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  Fatores sob Avaliação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Cinco capacidades entram como fatores liga/desliga. Cada fator inclui ou remove do OOB as unidades correspondentes.</w:t>
      </w:r>
    </w:p>
    <w:tbl>
      <w:tblPr>
        <w:tblW w:type="dxa" w:w="9638"/>
        <w:tblBorders>
          <w:top w:val="single" w:color="8AA0C8" w:sz="4"/>
          <w:start w:val="single" w:color="8AA0C8" w:sz="4"/>
          <w:bottom w:val="single" w:color="8AA0C8" w:sz="4"/>
          <w:end w:val="single" w:color="8AA0C8" w:sz="4"/>
          <w:insideH w:val="single" w:color="8AA0C8" w:sz="4"/>
          <w:insideV w:val="single" w:color="8AA0C8" w:sz="4"/>
        </w:tblBorders>
      </w:tblPr>
      <w:tblGrid>
        <w:gridCol w:w="1300"/>
        <w:gridCol w:w="3000"/>
        <w:gridCol w:w="2938"/>
        <w:gridCol w:w="2400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Fator</w:t>
            </w:r>
          </w:p>
        </w:tc>
        <w:tc>
          <w:tcPr>
            <w:tcW w:type="dxa" w:w="30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Capacidade</w:t>
            </w:r>
          </w:p>
        </w:tc>
        <w:tc>
          <w:tcPr>
            <w:tcW w:type="dxa" w:w="2938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Unidades / meios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Papel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A_MPA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Patrulha marítima persistente</w:t>
            </w:r>
          </w:p>
        </w:tc>
        <w:tc>
          <w:tcPr>
            <w:tcW w:type="dxa" w:w="29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Aviação de patrulha (MPA)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Vigilância de área ampla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B_NPaOc</w:t>
            </w:r>
          </w:p>
        </w:tc>
        <w:tc>
          <w:tcPr>
            <w:tcW w:type="dxa" w:w="30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Navios-patrulha oceânicos</w:t>
            </w:r>
          </w:p>
        </w:tc>
        <w:tc>
          <w:tcPr>
            <w:tcW w:type="dxa" w:w="29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OPV / corvetas</w:t>
            </w:r>
          </w:p>
        </w:tc>
        <w:tc>
          <w:tcPr>
            <w:tcW w:type="dxa" w:w="24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Presença e interdição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C_Fusão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Fusão de dados / SisGAAz ampliado</w:t>
            </w:r>
          </w:p>
        </w:tc>
        <w:tc>
          <w:tcPr>
            <w:tcW w:type="dxa" w:w="29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Satélite, RF, AIS forense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Consciência situacional, atribuição e triagem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D_USV</w:t>
            </w:r>
          </w:p>
        </w:tc>
        <w:tc>
          <w:tcPr>
            <w:tcW w:type="dxa" w:w="30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Sistemas não tripulados</w:t>
            </w:r>
          </w:p>
        </w:tc>
        <w:tc>
          <w:tcPr>
            <w:tcW w:type="dxa" w:w="29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USV / UAV / ROV</w:t>
            </w:r>
          </w:p>
        </w:tc>
        <w:tc>
          <w:tcPr>
            <w:tcW w:type="dxa" w:w="24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Sensoriamento persistente e MCM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E_GVI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Abordagem e interdição</w:t>
            </w:r>
          </w:p>
        </w:tc>
        <w:tc>
          <w:tcPr>
            <w:tcW w:type="dxa" w:w="29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GptFN embarcado + ROE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Execução da resposta graduada</w:t>
            </w:r>
          </w:p>
        </w:tc>
      </w:tr>
    </w:tbl>
    <w:p>
      <w:pPr>
        <w:spacing w:after="200" w:before="40"/>
        <w:jc w:val="center"/>
      </w:pPr>
      <w:r>
        <w:rPr>
          <w:rFonts w:ascii="Georgia" w:cs="Georgia" w:eastAsia="Georgia" w:hAnsi="Georgia"/>
          <w:i/>
          <w:iCs/>
          <w:color w:val="555555"/>
          <w:sz w:val="17"/>
          <w:szCs w:val="17"/>
        </w:rPr>
        <w:t xml:space="preserve">Tabela 2.1. Fatores da variante OAS-SM.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2.1  Vetor de custo (EAC base 100)</w:t>
      </w:r>
    </w:p>
    <w:tbl>
      <w:tblPr>
        <w:tblW w:type="dxa" w:w="9638"/>
        <w:tblBorders>
          <w:top w:val="single" w:color="8AA0C8" w:sz="4"/>
          <w:start w:val="single" w:color="8AA0C8" w:sz="4"/>
          <w:bottom w:val="single" w:color="8AA0C8" w:sz="4"/>
          <w:end w:val="single" w:color="8AA0C8" w:sz="4"/>
          <w:insideH w:val="single" w:color="8AA0C8" w:sz="4"/>
          <w:insideV w:val="single" w:color="8AA0C8" w:sz="4"/>
        </w:tblBorders>
      </w:tblPr>
      <w:tblGrid>
        <w:gridCol w:w="1928"/>
        <w:gridCol w:w="1928"/>
        <w:gridCol w:w="1928"/>
        <w:gridCol w:w="1927"/>
        <w:gridCol w:w="1927"/>
      </w:tblGrid>
      <w:tr>
        <w:trPr>
          <w:tblHeader/>
        </w:trPr>
        <w:tc>
          <w:tcPr>
            <w:tcW w:type="dxa" w:w="1928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A_MPA</w:t>
            </w:r>
          </w:p>
        </w:tc>
        <w:tc>
          <w:tcPr>
            <w:tcW w:type="dxa" w:w="1928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B_NPaOc</w:t>
            </w:r>
          </w:p>
        </w:tc>
        <w:tc>
          <w:tcPr>
            <w:tcW w:type="dxa" w:w="1928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C_Fusão</w:t>
            </w:r>
          </w:p>
        </w:tc>
        <w:tc>
          <w:tcPr>
            <w:tcW w:type="dxa" w:w="1927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D_USV</w:t>
            </w:r>
          </w:p>
        </w:tc>
        <w:tc>
          <w:tcPr>
            <w:tcW w:type="dxa" w:w="1927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E_GVI</w:t>
            </w:r>
          </w:p>
        </w:tc>
      </w:tr>
      <w:tr>
        <w:tc>
          <w:tcPr>
            <w:tcW w:type="dxa" w:w="192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192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92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92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92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</w:t>
            </w:r>
          </w:p>
        </w:tc>
      </w:tr>
    </w:tbl>
    <w:p>
      <w:pPr>
        <w:spacing w:after="200" w:before="40"/>
        <w:jc w:val="center"/>
      </w:pPr>
      <w:r>
        <w:rPr>
          <w:rFonts w:ascii="Georgia" w:cs="Georgia" w:eastAsia="Georgia" w:hAnsi="Georgia"/>
          <w:i/>
          <w:iCs/>
          <w:color w:val="555555"/>
          <w:sz w:val="17"/>
          <w:szCs w:val="17"/>
        </w:rPr>
        <w:t xml:space="preserve">Tabela 2.2. Vetor de custo EAC (placeholder).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2.2  Modalidade de C2 como condição controlada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A modalidade de jogo (jogador único, confronto 1×1 ou estações distribuídas) não é um dos cinco fatores: é uma condição controlada, fixada em jogador único nas execuções de pesquisa, para que a variação de desempenho reflita as capacidades e não a decisão humana. As modalidades 1×1 (Azul × Vermelho) e distribuída (exercício de estado-maior) destinam-se ao modo interativo; seus efeitos podem ser investigados como extensão, em desenho próprio.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2.3  Apoio externo como tratamento controlado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O apoio externo centralizado pelo COMPAAz — a patrulha marítima ativada junto à FAB e os apoios interagências (Polícia Federal, Receita Federal, IBAMA, CENSIPAM e cooperação de inteligência) —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não é um fator liga/desliga de capacidade</w:t>
      </w:r>
      <w:r>
        <w:rPr>
          <w:rFonts w:ascii="Georgia" w:cs="Georgia" w:eastAsia="Georgia" w:hAnsi="Georgia"/>
          <w:sz w:val="21"/>
          <w:szCs w:val="21"/>
        </w:rPr>
        <w:t xml:space="preserve">, mas um modificador condicional de efetividade: só atua sobre a ação pertinente à atribuição do órgão e está sujeito a prazo. Por isso é modelado como um tratamento binário controlado,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apoio_externo</w:t>
      </w:r>
      <w:r>
        <w:rPr>
          <w:rFonts w:ascii="Georgia" w:cs="Georgia" w:eastAsia="Georgia" w:hAnsi="Georgia"/>
          <w:sz w:val="21"/>
          <w:szCs w:val="21"/>
        </w:rPr>
        <w:t xml:space="preserve"> (disponível / indisponível), e não como sexto fator — o que evitaria inflar o fatorial para 2⁶. No desenho principal, apoio_externo é fixado em </w:t>
      </w:r>
      <w:r>
        <w:rPr>
          <w:rFonts w:ascii="Georgia" w:cs="Georgia" w:eastAsia="Georgia" w:hAnsi="Georgia"/>
          <w:i/>
          <w:iCs/>
          <w:sz w:val="21"/>
          <w:szCs w:val="21"/>
        </w:rPr>
        <w:t xml:space="preserve">disponível</w:t>
      </w:r>
      <w:r>
        <w:rPr>
          <w:rFonts w:ascii="Georgia" w:cs="Georgia" w:eastAsia="Georgia" w:hAnsi="Georgia"/>
          <w:sz w:val="21"/>
          <w:szCs w:val="21"/>
        </w:rPr>
        <w:t xml:space="preserve"> (condição realista de emprego); seu efeito marginal é medido em um contraste dedicado (5.2).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  ISR / Fusão: Nova Centralidade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No jogo base, o ISR é constante de controle. Na OAS-SM isso se inverte: a fusão de dados (fator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C_Fusão</w:t>
      </w:r>
      <w:r>
        <w:rPr>
          <w:rFonts w:ascii="Georgia" w:cs="Georgia" w:eastAsia="Georgia" w:hAnsi="Georgia"/>
          <w:sz w:val="21"/>
          <w:szCs w:val="21"/>
        </w:rPr>
        <w:t xml:space="preserve">) passa a ser capacidade sob avaliação, porque a consciência situacional é a variável decisiva em Maritime Security. A fusão alimenta o barramento comum das estações de C2 e condiciona duas decisões críticas: a atribuição na trilha de defesa e a triagem das ocorrências na trilha constabular (distinguir rotina de cobertura para o híbrido).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  Métricas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O atrito deixa de ser a métrica primária. O conjunto reflete os efeitos das duas trilhas: neutralização/atribuição, integridade da infraestrutura, contenção da escalada, custo político e ordem marítima.</w:t>
      </w:r>
    </w:p>
    <w:tbl>
      <w:tblPr>
        <w:tblW w:type="dxa" w:w="9638"/>
        <w:tblBorders>
          <w:top w:val="single" w:color="8AA0C8" w:sz="4"/>
          <w:start w:val="single" w:color="8AA0C8" w:sz="4"/>
          <w:bottom w:val="single" w:color="8AA0C8" w:sz="4"/>
          <w:end w:val="single" w:color="8AA0C8" w:sz="4"/>
          <w:insideH w:val="single" w:color="8AA0C8" w:sz="4"/>
          <w:insideV w:val="single" w:color="8AA0C8" w:sz="4"/>
        </w:tblBorders>
      </w:tblPr>
      <w:tblGrid>
        <w:gridCol w:w="2100"/>
        <w:gridCol w:w="5138"/>
        <w:gridCol w:w="2400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5138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Definição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Sentido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E1_atrib</w:t>
            </w:r>
          </w:p>
        </w:tc>
        <w:tc>
          <w:tcPr>
            <w:tcW w:type="dxa" w:w="51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Fração de incidentes do híbrido neutralizados e/ou atribuídos de forma robusta.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Maior é melhor</w:t>
            </w:r>
          </w:p>
        </w:tc>
      </w:tr>
      <w:tr>
        <w:tc>
          <w:tcPr>
            <w:tcW w:type="dxa" w:w="21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E2_infra</w:t>
            </w:r>
          </w:p>
        </w:tc>
        <w:tc>
          <w:tcPr>
            <w:tcW w:type="dxa" w:w="51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Integridade da infraestrutura crítica (FPSOs + cabos/dutos) preservada, em VP.</w:t>
            </w:r>
          </w:p>
        </w:tc>
        <w:tc>
          <w:tcPr>
            <w:tcW w:type="dxa" w:w="24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Maior é melhor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E3_escalada</w:t>
            </w:r>
          </w:p>
        </w:tc>
        <w:tc>
          <w:tcPr>
            <w:tcW w:type="dxa" w:w="51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Turnos mantidos abaixo do limiar de conflito (contenção).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Maior é melhor</w:t>
            </w:r>
          </w:p>
        </w:tc>
      </w:tr>
      <w:tr>
        <w:tc>
          <w:tcPr>
            <w:tcW w:type="dxa" w:w="21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E4_custopol</w:t>
            </w:r>
          </w:p>
        </w:tc>
        <w:tc>
          <w:tcPr>
            <w:tcW w:type="dxa" w:w="51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Custo político acumulado (respostas erradas, danos a terceiros).</w:t>
            </w:r>
          </w:p>
        </w:tc>
        <w:tc>
          <w:tcPr>
            <w:tcW w:type="dxa" w:w="24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Menor é melhor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E5_ordem</w:t>
            </w:r>
          </w:p>
        </w:tc>
        <w:tc>
          <w:tcPr>
            <w:tcW w:type="dxa" w:w="51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Fração de ocorrências constabulares detectadas e reprimidas (governança).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Maior é melhor</w:t>
            </w:r>
          </w:p>
        </w:tc>
      </w:tr>
      <w:tr>
        <w:tc>
          <w:tcPr>
            <w:tcW w:type="dxa" w:w="21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E6_dispersao</w:t>
            </w:r>
          </w:p>
        </w:tc>
        <w:tc>
          <w:tcPr>
            <w:tcW w:type="dxa" w:w="51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Capacidade Azul desviada pela carga constabular instrumentalizada (acoplamento).</w:t>
            </w:r>
          </w:p>
        </w:tc>
        <w:tc>
          <w:tcPr>
            <w:tcW w:type="dxa" w:w="24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Menor é melhor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sloc_idx</w:t>
            </w:r>
          </w:p>
        </w:tc>
        <w:tc>
          <w:tcPr>
            <w:tcW w:type="dxa" w:w="51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Índice de segurança/fluidez das linhas de comunicação marítima.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Maior é melhor</w:t>
            </w:r>
          </w:p>
        </w:tc>
      </w:tr>
      <w:tr>
        <w:tc>
          <w:tcPr>
            <w:tcW w:type="dxa" w:w="21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atrito_terminal</w:t>
            </w:r>
          </w:p>
        </w:tc>
        <w:tc>
          <w:tcPr>
            <w:tcW w:type="dxa" w:w="51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Perdas no caso-limite N3, quando houver escalada aberta.</w:t>
            </w:r>
          </w:p>
        </w:tc>
        <w:tc>
          <w:tcPr>
            <w:tcW w:type="dxa" w:w="24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Contextual</w:t>
            </w:r>
          </w:p>
        </w:tc>
      </w:tr>
    </w:tbl>
    <w:p>
      <w:pPr>
        <w:spacing w:after="200" w:before="40"/>
        <w:jc w:val="center"/>
      </w:pPr>
      <w:r>
        <w:rPr>
          <w:rFonts w:ascii="Georgia" w:cs="Georgia" w:eastAsia="Georgia" w:hAnsi="Georgia"/>
          <w:i/>
          <w:iCs/>
          <w:color w:val="555555"/>
          <w:sz w:val="17"/>
          <w:szCs w:val="17"/>
        </w:rPr>
        <w:t xml:space="preserve">Tabela 4.1. Métricas da variante OAS-SM.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A tensão central do jogador aparece na relação entre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E5_ordem</w:t>
      </w:r>
      <w:r>
        <w:rPr>
          <w:rFonts w:ascii="Georgia" w:cs="Georgia" w:eastAsia="Georgia" w:hAnsi="Georgia"/>
          <w:sz w:val="21"/>
          <w:szCs w:val="21"/>
        </w:rPr>
        <w:t xml:space="preserve"> e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E1_atrib</w:t>
      </w:r>
      <w:r>
        <w:rPr>
          <w:rFonts w:ascii="Georgia" w:cs="Georgia" w:eastAsia="Georgia" w:hAnsi="Georgia"/>
          <w:sz w:val="21"/>
          <w:szCs w:val="21"/>
        </w:rPr>
        <w:t xml:space="preserve">: perseguir toda ocorrência eleva a governança mas eleva também E6_dispersao e abre janelas ao híbrido; ignorá-las preserva o foco mas degrada a ordem. O equilíbrio depende da triagem e, portanto, de C_Fusão.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  Desenhos Experimentais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5.1  Desenhos principais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Preservam-se os dois desenhos complementares: a ablação isola a contribuição individual de cada capacidade; o fatorial completo captura efeitos de interação. Em ambos, apoio_externo é fixado em disponível.</w:t>
      </w:r>
    </w:p>
    <w:tbl>
      <w:tblPr>
        <w:tblW w:type="dxa" w:w="9638"/>
        <w:tblBorders>
          <w:top w:val="single" w:color="8AA0C8" w:sz="4"/>
          <w:start w:val="single" w:color="8AA0C8" w:sz="4"/>
          <w:bottom w:val="single" w:color="8AA0C8" w:sz="4"/>
          <w:end w:val="single" w:color="8AA0C8" w:sz="4"/>
          <w:insideH w:val="single" w:color="8AA0C8" w:sz="4"/>
          <w:insideV w:val="single" w:color="8AA0C8" w:sz="4"/>
        </w:tblBorders>
      </w:tblPr>
      <w:tblGrid>
        <w:gridCol w:w="4838"/>
        <w:gridCol w:w="1600"/>
        <w:gridCol w:w="1600"/>
        <w:gridCol w:w="1600"/>
      </w:tblGrid>
      <w:tr>
        <w:trPr>
          <w:tblHeader/>
        </w:trPr>
        <w:tc>
          <w:tcPr>
            <w:tcW w:type="dxa" w:w="4838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Desenho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Condições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Réplicas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Partidas</w:t>
            </w:r>
          </w:p>
        </w:tc>
      </w:tr>
      <w:tr>
        <w:tc>
          <w:tcPr>
            <w:tcW w:type="dxa" w:w="48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Ablação (C0 = todas; C1–C5 = sem cada capacidade)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300</w:t>
            </w:r>
          </w:p>
        </w:tc>
      </w:tr>
      <w:tr>
        <w:tc>
          <w:tcPr>
            <w:tcW w:type="dxa" w:w="48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Fatorial completo 2⁵</w:t>
            </w:r>
          </w:p>
        </w:tc>
        <w:tc>
          <w:tcPr>
            <w:tcW w:type="dxa" w:w="16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6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640</w:t>
            </w:r>
          </w:p>
        </w:tc>
      </w:tr>
      <w:tr>
        <w:tc>
          <w:tcPr>
            <w:tcW w:type="dxa" w:w="48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Subtotal principal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940</w:t>
            </w:r>
          </w:p>
        </w:tc>
      </w:tr>
    </w:tbl>
    <w:p>
      <w:pPr>
        <w:spacing w:after="200" w:before="40"/>
        <w:jc w:val="center"/>
      </w:pPr>
      <w:r>
        <w:rPr>
          <w:rFonts w:ascii="Georgia" w:cs="Georgia" w:eastAsia="Georgia" w:hAnsi="Georgia"/>
          <w:i/>
          <w:iCs/>
          <w:color w:val="555555"/>
          <w:sz w:val="17"/>
          <w:szCs w:val="17"/>
        </w:rPr>
        <w:t xml:space="preserve">Tabela 5.1. Volumes dos desenhos principais (modalidade de C2 e apoio externo fixos).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5.2  Contraste de apoio externo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Para estimar o efeito marginal da coordenação externa do COMPAAz sem inflar o fatorial, roda-se um contraste dedicado sobre a condição C0 (todas as capacidades ativas), variando apenas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apoio_externo</w:t>
      </w:r>
      <w:r>
        <w:rPr>
          <w:rFonts w:ascii="Georgia" w:cs="Georgia" w:eastAsia="Georgia" w:hAnsi="Georgia"/>
          <w:sz w:val="21"/>
          <w:szCs w:val="21"/>
        </w:rPr>
        <w:t xml:space="preserve"> entre disponível e indisponível, com sementes espelhadas. A comparação incide sobretudo sobre E5_ordem e E1_atrib (ganho de efetividade) e sobre E4_custopol (respostas mais bem fundamentadas).</w:t>
      </w:r>
    </w:p>
    <w:tbl>
      <w:tblPr>
        <w:tblW w:type="dxa" w:w="9638"/>
        <w:tblBorders>
          <w:top w:val="single" w:color="8AA0C8" w:sz="4"/>
          <w:start w:val="single" w:color="8AA0C8" w:sz="4"/>
          <w:bottom w:val="single" w:color="8AA0C8" w:sz="4"/>
          <w:end w:val="single" w:color="8AA0C8" w:sz="4"/>
          <w:insideH w:val="single" w:color="8AA0C8" w:sz="4"/>
          <w:insideV w:val="single" w:color="8AA0C8" w:sz="4"/>
        </w:tblBorders>
      </w:tblPr>
      <w:tblGrid>
        <w:gridCol w:w="4838"/>
        <w:gridCol w:w="1600"/>
        <w:gridCol w:w="1600"/>
        <w:gridCol w:w="1600"/>
      </w:tblGrid>
      <w:tr>
        <w:trPr>
          <w:tblHeader/>
        </w:trPr>
        <w:tc>
          <w:tcPr>
            <w:tcW w:type="dxa" w:w="4838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Contraste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Condições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Réplicas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Partidas</w:t>
            </w:r>
          </w:p>
        </w:tc>
      </w:tr>
      <w:tr>
        <w:tc>
          <w:tcPr>
            <w:tcW w:type="dxa" w:w="48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C0 × apoio_externo (disponível / indisponível)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18"/>
                <w:szCs w:val="18"/>
              </w:rPr>
              <w:t xml:space="preserve">100</w:t>
            </w:r>
          </w:p>
        </w:tc>
      </w:tr>
    </w:tbl>
    <w:p>
      <w:pPr>
        <w:spacing w:after="200" w:before="40"/>
        <w:jc w:val="center"/>
      </w:pPr>
      <w:r>
        <w:rPr>
          <w:rFonts w:ascii="Georgia" w:cs="Georgia" w:eastAsia="Georgia" w:hAnsi="Georgia"/>
          <w:i/>
          <w:iCs/>
          <w:color w:val="555555"/>
          <w:sz w:val="17"/>
          <w:szCs w:val="17"/>
        </w:rPr>
        <w:t xml:space="preserve">Tabela 5.2. Contraste de apoio externo (extensão focada).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Total geral: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1.040 partidas</w:t>
      </w:r>
      <w:r>
        <w:rPr>
          <w:rFonts w:ascii="Georgia" w:cs="Georgia" w:eastAsia="Georgia" w:hAnsi="Georgia"/>
          <w:sz w:val="21"/>
          <w:szCs w:val="21"/>
        </w:rPr>
        <w:t xml:space="preserve"> (940 principais + 100 do contraste). Sementes espelhadas entre condições garantem blocagem; a semente também fixa a sequência de ocorrências constabulares e de apoios concedidos, de modo que a mesma semente reproduza exatamente a mesma campanha (critério de aceitação).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  Esquema do Dataset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Uma linha por partida. Colunas compatíveis com o pipeline do projeto, acrescidas das métricas das duas trilhas, da configuração de C2 e do apoio externo.</w:t>
      </w:r>
    </w:p>
    <w:tbl>
      <w:tblPr>
        <w:tblW w:type="dxa" w:w="9638"/>
        <w:tblBorders>
          <w:top w:val="single" w:color="8AA0C8" w:sz="4"/>
          <w:start w:val="single" w:color="8AA0C8" w:sz="4"/>
          <w:bottom w:val="single" w:color="8AA0C8" w:sz="4"/>
          <w:end w:val="single" w:color="8AA0C8" w:sz="4"/>
          <w:insideH w:val="single" w:color="8AA0C8" w:sz="4"/>
          <w:insideV w:val="single" w:color="8AA0C8" w:sz="4"/>
        </w:tblBorders>
      </w:tblPr>
      <w:tblGrid>
        <w:gridCol w:w="3100"/>
        <w:gridCol w:w="1200"/>
        <w:gridCol w:w="5338"/>
      </w:tblGrid>
      <w:tr>
        <w:trPr>
          <w:tblHeader/>
        </w:trPr>
        <w:tc>
          <w:tcPr>
            <w:tcW w:type="dxa" w:w="31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2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338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bloco, condicao, replica, semente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53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Identificação da célula experimental.</w:t>
            </w:r>
          </w:p>
        </w:tc>
      </w:tr>
      <w:tr>
        <w:tc>
          <w:tcPr>
            <w:tcW w:type="dxa" w:w="31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modalidade_C2</w:t>
            </w:r>
          </w:p>
        </w:tc>
        <w:tc>
          <w:tcPr>
            <w:tcW w:type="dxa" w:w="12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cat</w:t>
            </w:r>
          </w:p>
        </w:tc>
        <w:tc>
          <w:tcPr>
            <w:tcW w:type="dxa" w:w="53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Modalidade de comando (padrão: 'unico').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apoio_externo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0/1</w:t>
            </w:r>
          </w:p>
        </w:tc>
        <w:tc>
          <w:tcPr>
            <w:tcW w:type="dxa" w:w="53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Tratamento: apoio externo disponível (padrão: 1).</w:t>
            </w:r>
          </w:p>
        </w:tc>
      </w:tr>
      <w:tr>
        <w:tc>
          <w:tcPr>
            <w:tcW w:type="dxa" w:w="31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A_MPA, B_NPaOc, C_Fusão, D_USV, E_GVI</w:t>
            </w:r>
          </w:p>
        </w:tc>
        <w:tc>
          <w:tcPr>
            <w:tcW w:type="dxa" w:w="12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−1/+1</w:t>
            </w:r>
          </w:p>
        </w:tc>
        <w:tc>
          <w:tcPr>
            <w:tcW w:type="dxa" w:w="53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Fatores (codificação de contraste).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n_capacidades, custo_total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num</w:t>
            </w:r>
          </w:p>
        </w:tc>
        <w:tc>
          <w:tcPr>
            <w:tcW w:type="dxa" w:w="53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Capacidades ativas e custo EAC.</w:t>
            </w:r>
          </w:p>
        </w:tc>
      </w:tr>
      <w:tr>
        <w:tc>
          <w:tcPr>
            <w:tcW w:type="dxa" w:w="31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E1_atrib, E2_infra, E3_escalada</w:t>
            </w:r>
          </w:p>
        </w:tc>
        <w:tc>
          <w:tcPr>
            <w:tcW w:type="dxa" w:w="12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num</w:t>
            </w:r>
          </w:p>
        </w:tc>
        <w:tc>
          <w:tcPr>
            <w:tcW w:type="dxa" w:w="53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Métricas da trilha de defesa.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E4_custopol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num</w:t>
            </w:r>
          </w:p>
        </w:tc>
        <w:tc>
          <w:tcPr>
            <w:tcW w:type="dxa" w:w="53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Custo político acumulado.</w:t>
            </w:r>
          </w:p>
        </w:tc>
      </w:tr>
      <w:tr>
        <w:tc>
          <w:tcPr>
            <w:tcW w:type="dxa" w:w="31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E5_ordem, E6_dispersao</w:t>
            </w:r>
          </w:p>
        </w:tc>
        <w:tc>
          <w:tcPr>
            <w:tcW w:type="dxa" w:w="12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num</w:t>
            </w:r>
          </w:p>
        </w:tc>
        <w:tc>
          <w:tcPr>
            <w:tcW w:type="dxa" w:w="53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Métricas da trilha constabular e do acoplamento.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n_ocorr_crim, ocorr_reprimidas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num</w:t>
            </w:r>
          </w:p>
        </w:tc>
        <w:tc>
          <w:tcPr>
            <w:tcW w:type="dxa" w:w="53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Ocorrências constabulares geradas e atendidas.</w:t>
            </w:r>
          </w:p>
        </w:tc>
      </w:tr>
      <w:tr>
        <w:tc>
          <w:tcPr>
            <w:tcW w:type="dxa" w:w="31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mpa_solicitada, mpa_atendida</w:t>
            </w:r>
          </w:p>
        </w:tc>
        <w:tc>
          <w:tcPr>
            <w:tcW w:type="dxa" w:w="12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num</w:t>
            </w:r>
          </w:p>
        </w:tc>
        <w:tc>
          <w:tcPr>
            <w:tcW w:type="dxa" w:w="53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Pedidos de patrulha marítima (FAB via COMPAAz) e atendimentos.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apoio_pf, apoio_rf, apoio_ibama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num</w:t>
            </w:r>
          </w:p>
        </w:tc>
        <w:tc>
          <w:tcPr>
            <w:tcW w:type="dxa" w:w="53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Apoios usados: Polícia Federal, Receita Federal, IBAMA.</w:t>
            </w:r>
          </w:p>
        </w:tc>
      </w:tr>
      <w:tr>
        <w:tc>
          <w:tcPr>
            <w:tcW w:type="dxa" w:w="31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apoio_censipam, apoio_intl</w:t>
            </w:r>
          </w:p>
        </w:tc>
        <w:tc>
          <w:tcPr>
            <w:tcW w:type="dxa" w:w="12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num</w:t>
            </w:r>
          </w:p>
        </w:tc>
        <w:tc>
          <w:tcPr>
            <w:tcW w:type="dxa" w:w="53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Apoios usados: imageamento (CENSIPAM) e inteligência internacional.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n_apoios_concedidos, efeito_apoio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num</w:t>
            </w:r>
          </w:p>
        </w:tc>
        <w:tc>
          <w:tcPr>
            <w:tcW w:type="dxa" w:w="53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Apoios concedidos e ganho de efetividade atribuível.</w:t>
            </w:r>
          </w:p>
        </w:tc>
      </w:tr>
      <w:tr>
        <w:tc>
          <w:tcPr>
            <w:tcW w:type="dxa" w:w="31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sloc_idx</w:t>
            </w:r>
          </w:p>
        </w:tc>
        <w:tc>
          <w:tcPr>
            <w:tcW w:type="dxa" w:w="12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num</w:t>
            </w:r>
          </w:p>
        </w:tc>
        <w:tc>
          <w:tcPr>
            <w:tcW w:type="dxa" w:w="53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Índice de segurança das SLOC.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kcv_perdido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0/1</w:t>
            </w:r>
          </w:p>
        </w:tc>
        <w:tc>
          <w:tcPr>
            <w:tcW w:type="dxa" w:w="53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KCV abatido em N3 (derrota Vermelha).</w:t>
            </w:r>
          </w:p>
        </w:tc>
      </w:tr>
      <w:tr>
        <w:tc>
          <w:tcPr>
            <w:tcW w:type="dxa" w:w="31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nivel_max</w:t>
            </w:r>
          </w:p>
        </w:tc>
        <w:tc>
          <w:tcPr>
            <w:tcW w:type="dxa" w:w="1200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0–3</w:t>
            </w:r>
          </w:p>
        </w:tc>
        <w:tc>
          <w:tcPr>
            <w:tcW w:type="dxa" w:w="5338"/>
            <w:shd w:fill="F2F5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Nível máximo de escalada atingido.</w:t>
            </w:r>
          </w:p>
        </w:tc>
      </w:tr>
    </w:tbl>
    <w:p>
      <w:pPr>
        <w:spacing w:after="200" w:before="40"/>
        <w:jc w:val="center"/>
      </w:pPr>
      <w:r>
        <w:rPr>
          <w:rFonts w:ascii="Georgia" w:cs="Georgia" w:eastAsia="Georgia" w:hAnsi="Georgia"/>
          <w:i/>
          <w:iCs/>
          <w:color w:val="555555"/>
          <w:sz w:val="17"/>
          <w:szCs w:val="17"/>
        </w:rPr>
        <w:t xml:space="preserve">Tabela 6.1. Colunas do dataset OAS-SM (CSV/UTF-8 e/ou XLSX).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  Pipeline Estatístico</w:t>
      </w:r>
    </w:p>
    <w:p>
      <w:pPr>
        <w:spacing w:after="120" w:line="276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O pipeline Jamovi + R é reutilizado sem alteração estrutural: ablação com correção de Holm sobre as contribuições marginais; ANOVA fatorial com η² parcial sobre E1–E6; regressão logística sobre kcv_perdido e sobre a ocorrência de escalada a N3; e visualização de Pareto (ggplot2) no plano custo × efeito. Com as duas trilhas, a análise ganha um exame específico do compromisso E5_ordem × E1_atrib em função de C_Fusão. O contraste de apoio externo (5.2) entra como teste de diferença entre as duas condições de apoio_externo sobre E5_ordem, E1_atrib e E4_custopol, com tamanho de efeito reportado.</w:t>
      </w:r>
    </w:p>
    <w:p>
      <w:pPr>
        <w:spacing w:after="12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  Critérios de Aceitação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Determinismo: mesma semente reproduz exatamente a mesma campanha (incluindo as ocorrências constabulares).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O motor de encontro respeita seus limites (encontro nulo ⇒ sem efeito; atribuição plena ⇒ resposta máxima autorizada).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A escalada a N3 aciona o motor de salva sem alterar sua física nem os testes herdados.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Ativar/desativar um fator altera apenas as unidades previstas no OOB.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A troca de modalidade de C2 (único ↔ distribuído) não altera as regras, apenas quem decide cada estação.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O apoio externo atua apenas sobre a ação pertinente à atribuição do órgão e respeita o prazo; com apoio_externo = 0, nenhum apoio é concedido.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Gera o dataset no esquema da seção 6, importável em Jamovi/R.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Executa os 1.040 cenários (940 principais + 100 do contraste de apoio) em lote.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Perda do KCV encerra a partida como derrota Vermelha.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Arial" w:cs="Arial" w:eastAsia="Arial" w:hAnsi="Arial"/>
        <w:color w:val="9A9A9A"/>
        <w:sz w:val="14"/>
        <w:szCs w:val="14"/>
      </w:rPr>
      <w:t xml:space="preserve">OAS-SM  •  </w:t>
    </w:r>
    <w:r>
      <w:rPr>
        <w:rFonts w:ascii="Arial" w:cs="Arial" w:eastAsia="Arial" w:hAnsi="Arial"/>
        <w:color w:val="9A9A9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4DC" w:sz="4" w:space="4"/>
      </w:pBdr>
      <w:spacing w:after="0"/>
      <w:jc w:val="right"/>
    </w:pPr>
    <w:r>
      <w:rPr>
        <w:rFonts w:ascii="Arial" w:cs="Arial" w:eastAsia="Arial" w:hAnsi="Arial"/>
        <w:color w:val="8A8A8A"/>
        <w:sz w:val="14"/>
        <w:szCs w:val="14"/>
      </w:rPr>
      <w:t xml:space="preserve">OAS-SM — Desenho Experimental e Dados (v1.3)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  <w:rPr>
        <w:color w:val="2E5496"/>
      </w:rPr>
    </w:lvl>
    <w:lvl w:ilvl="1" w15:tentative="1">
      <w:start w:val="1"/>
      <w:numFmt w:val="bullet"/>
      <w:lvlText w:val="▪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OAS-SM — Desenho Experimental e Dados (v1.3)</dc:title>
  <dc:creator>Operação Atlântico Sul — OAS-SM</dc:creator>
  <cp:lastModifiedBy>Un-named</cp:lastModifiedBy>
  <cp:revision>1</cp:revision>
  <dcterms:created xsi:type="dcterms:W3CDTF">2026-10-14T13:58:04.870Z</dcterms:created>
  <dcterms:modified xsi:type="dcterms:W3CDTF">2026-10-14T13:58:04.870Z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