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SOP: ICP за Savenae Smooth Reset Pads в България</w:t>
      </w:r>
    </w:p>
    <w:p>
      <w:pPr/>
      <w:r>
        <w:t xml:space="preserve">Oct 6, 2026</w:t>
      </w:r>
      <w:r>
        <w:t xml:space="preserve"> · </w:t>
      </w:r>
      <w:r>
        <w:t xml:space="preserve">@Velizar</w:t>
      </w:r>
    </w:p>
    <w:p>
      <w:pPr>
        <w:pStyle w:val="Heading2"/>
      </w:pPr>
      <w:r>
        <w:t xml:space="preserve">1. Цел и обхват</w:t>
      </w:r>
    </w:p>
    <w:p>
      <w:pPr/>
      <w:r>
        <w:t xml:space="preserve">Този SOP определя на кого продаваме Savenae Smooth Reset Pads в България и как таргетираме, пишем и пускаме реклами към този човек.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Обхват:</w:t>
      </w:r>
      <w:r>
        <w:t xml:space="preserve"> Meta (Facebook и Instagram), TikTok, лендинг и продуктова страница; пазар България; цени в евро.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Кога се ползва:</w:t>
      </w:r>
      <w:r>
        <w:t xml:space="preserve"> при старт на кампания, писане на копи и креативи, бриф към UGC креатори и преглед на лендинг.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Основа:</w:t>
      </w:r>
      <w:r>
        <w:t xml:space="preserve"> research от 6 октомври 2026 г. (пазар на тампони за врастнали косми в БГ + ICP research). Фактите са с източници в т. 12, а собствените изводи са отбелязани с „извод“.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Преглед на документа:</w:t>
      </w:r>
      <w:r>
        <w:t xml:space="preserve"> след първите 14 дни реклама или първите 50 поръчки, когато се появят реални данни за купувачите.</w:t>
      </w:r>
    </w:p>
    <w:p>
      <w:pPr>
        <w:pStyle w:val="Heading2"/>
      </w:pPr>
      <w:r>
        <w:t xml:space="preserve">2. ICP в едно изречение</w:t>
      </w:r>
    </w:p>
    <w:p>
      <w:pPr/>
      <w:r>
        <w:rPr>
          <w:b/>
        </w:rPr>
        <w:t xml:space="preserve">Жена на 18–34 г. (ядро 25–34), най-често от голям град (София, Варна, Пловдив), която бръсне бикини линията и подмишниците си вкъщи. Има чувствителна кожа и тъмни косми, и след всяко бръснене получава червени точки и „подкожни косми“. Пробвала е скрабове и „прехвалени мазила“, отлага лазера заради цената и купува с наложен платеж преди лятото, пътуване или среща.</w:t>
      </w:r>
    </w:p>
    <w:p>
      <w:pPr/>
      <w:r>
        <w:t xml:space="preserve">Най-силното доказателство е как Meta доставя рекламите на конкурентите: 91% от обхвата им е при жени, а 74% при 18–34 г. (т. 7).</w:t>
      </w:r>
    </w:p>
    <w:p>
      <w:pPr/>
      <w:r>
        <w:t xml:space="preserve">Няма българско проучване за обезкосмяване и врастнали косми, затова профилът съчетава български данни за онлайн пазаруване с европейски и американски данни (прокси) за самия проблем.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Показател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Стойност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Източник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Жени 25–44, купили козметика онлайн за 3 месеца (2024)</w:t>
            </w:r>
          </w:p>
        </w:tc>
        <w:tc>
          <w:tcPr>
            <w:tcW w:w="3120" w:type="dxa"/>
          </w:tcPr>
          <w:p>
            <w:pPr/>
            <w:r>
              <w:t xml:space="preserve">~29% (средно за БГ 10,9%, мъже 4,0%)</w:t>
            </w:r>
          </w:p>
        </w:tc>
        <w:tc>
          <w:tcPr>
            <w:tcW w:w="3120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Eurostat</w:t>
              </w:r>
            </w:hyperlink>
          </w:p>
        </w:tc>
      </w:tr>
      <w:tr>
        <w:tc>
          <w:tcPr>
            <w:tcW w:w="3120" w:type="dxa"/>
          </w:tcPr>
          <w:p>
            <w:pPr/>
            <w:r>
              <w:t xml:space="preserve">Плащания с наложен платеж (2024)</w:t>
            </w:r>
          </w:p>
        </w:tc>
        <w:tc>
          <w:tcPr>
            <w:tcW w:w="3120" w:type="dxa"/>
          </w:tcPr>
          <w:p>
            <w:pPr/>
            <w:r>
              <w:t xml:space="preserve">50,3% от плащанията; 92,9% от магазините го предлагат</w:t>
            </w:r>
          </w:p>
        </w:tc>
        <w:tc>
          <w:tcPr>
            <w:tcW w:w="3120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БАЕТ през БТПП</w:t>
              </w:r>
            </w:hyperlink>
            <w:r>
              <w:t xml:space="preserve">; </w:t>
            </w:r>
            <w:hyperlink r:id="rId5" w:history="1">
              <w:r>
                <w:rPr>
                  <w:rStyle w:val="Hyperlink"/>
                </w:rPr>
                <w:t xml:space="preserve">DIGIPAY</w:t>
              </w:r>
            </w:hyperlink>
          </w:p>
        </w:tc>
      </w:tr>
      <w:tr>
        <w:tc>
          <w:tcPr>
            <w:tcW w:w="3120" w:type="dxa"/>
          </w:tcPr>
          <w:p>
            <w:pPr/>
            <w:r>
              <w:t xml:space="preserve">Жени, които махат интимно окосмяване (прокси ЕС)</w:t>
            </w:r>
          </w:p>
        </w:tc>
        <w:tc>
          <w:tcPr>
            <w:tcW w:w="3120" w:type="dxa"/>
          </w:tcPr>
          <w:p>
            <w:pPr/>
            <w:r>
              <w:t xml:space="preserve">~74–80% (мъже ~39–55%)</w:t>
            </w:r>
          </w:p>
        </w:tc>
        <w:tc>
          <w:tcPr>
            <w:tcW w:w="312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J Sex Med 2019</w:t>
              </w:r>
            </w:hyperlink>
            <w:r>
              <w:t xml:space="preserve">; </w:t>
            </w:r>
            <w:hyperlink r:id="rId7" w:history="1">
              <w:r>
                <w:rPr>
                  <w:rStyle w:val="Hyperlink"/>
                </w:rPr>
                <w:t xml:space="preserve">Galaxus</w:t>
              </w:r>
            </w:hyperlink>
          </w:p>
        </w:tc>
      </w:tr>
      <w:tr>
        <w:tc>
          <w:tcPr>
            <w:tcW w:w="3120" w:type="dxa"/>
          </w:tcPr>
          <w:p>
            <w:pPr/>
            <w:r>
              <w:t xml:space="preserve">Жени 16–40, които съобщават за врастнали косми (прокси САЩ)</w:t>
            </w:r>
          </w:p>
        </w:tc>
        <w:tc>
          <w:tcPr>
            <w:tcW w:w="3120" w:type="dxa"/>
          </w:tcPr>
          <w:p>
            <w:pPr/>
            <w:r>
              <w:t xml:space="preserve">32,7%; само 3,9% са потърсили лекар</w:t>
            </w:r>
          </w:p>
        </w:tc>
        <w:tc>
          <w:tcPr>
            <w:tcW w:w="3120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AJOG 2014</w:t>
              </w:r>
            </w:hyperlink>
          </w:p>
        </w:tc>
      </w:tr>
      <w:tr>
        <w:tc>
          <w:tcPr>
            <w:tcW w:w="3120" w:type="dxa"/>
          </w:tcPr>
          <w:p>
            <w:pPr/>
            <w:r>
              <w:t xml:space="preserve">Жени 18–44 във Facebook / Instagram (септ. 2026)</w:t>
            </w:r>
          </w:p>
        </w:tc>
        <w:tc>
          <w:tcPr>
            <w:tcW w:w="3120" w:type="dxa"/>
          </w:tcPr>
          <w:p>
            <w:pPr/>
            <w:r>
              <w:t xml:space="preserve">~1,17 млн / ~0,77 млн (горна граница)</w:t>
            </w:r>
          </w:p>
        </w:tc>
        <w:tc>
          <w:tcPr>
            <w:tcW w:w="3120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NapoleonCat FB</w:t>
              </w:r>
            </w:hyperlink>
            <w:r>
              <w:t xml:space="preserve">; </w:t>
            </w:r>
            <w:hyperlink r:id="rId10" w:history="1">
              <w:r>
                <w:rPr>
                  <w:rStyle w:val="Hyperlink"/>
                </w:rPr>
                <w:t xml:space="preserve">NapoleonCat IG</w:t>
              </w:r>
            </w:hyperlink>
          </w:p>
        </w:tc>
      </w:tr>
      <w:tr>
        <w:tc>
          <w:tcPr>
            <w:tcW w:w="3120" w:type="dxa"/>
          </w:tcPr>
          <w:p>
            <w:pPr/>
            <w:r>
              <w:t xml:space="preserve">Жени 25–44 в активно търсене (извод, порядък на величината)</w:t>
            </w:r>
          </w:p>
        </w:tc>
        <w:tc>
          <w:tcPr>
            <w:tcW w:w="3120" w:type="dxa"/>
          </w:tcPr>
          <w:p>
            <w:pPr/>
            <w:r>
              <w:t xml:space="preserve">~60–70 хил.</w:t>
            </w:r>
          </w:p>
        </w:tc>
        <w:tc>
          <w:tcPr>
            <w:tcW w:w="3120" w:type="dxa"/>
          </w:tcPr>
          <w:p>
            <w:pPr/>
            <w:r>
              <w:t xml:space="preserve">Изчисление от горните редове</w:t>
            </w:r>
          </w:p>
        </w:tc>
      </w:tr>
    </w:tbl>
    <w:p>
      <w:pPr/>
      <w:r>
        <w:t xml:space="preserve">Практическият извод е, че Meta достига почти всяка жена на 18–44 г. в България. Ограничението е в креатива, доверието и бюджета, а не в размера на аудиторията.</w:t>
      </w:r>
    </w:p>
    <w:p>
      <w:pPr>
        <w:pStyle w:val="Heading2"/>
      </w:pPr>
      <w:r>
        <w:t xml:space="preserve">3. Продуктът Savenae накратко</w:t>
      </w:r>
    </w:p>
    <w:p>
      <w:pPr/>
      <w:r>
        <w:t xml:space="preserve">Savenae е нов български Shopify магазин, пуснат на 28 септември 2026 г.: буркан с 50 AHA + BHA тампона за €18,90, продаван като предварителна поръчка, без ревюта и без реклами към 6 октомври. Текстът е написан за жена, която бръсне краката си и сутринта вижда червени точки (</w:t>
      </w:r>
      <w:hyperlink r:id="rId11" w:history="1">
        <w:r>
          <w:rPr>
            <w:rStyle w:val="Hyperlink"/>
          </w:rPr>
          <w:t xml:space="preserve">продуктова страница</w:t>
        </w:r>
      </w:hyperlink>
      <w:r>
        <w:t xml:space="preserve">; </w:t>
      </w:r>
      <w:hyperlink r:id="rId12" w:history="1">
        <w:r>
          <w:rPr>
            <w:rStyle w:val="Hyperlink"/>
          </w:rPr>
          <w:t xml:space="preserve">адверториал</w:t>
        </w:r>
      </w:hyperlink>
      <w:r>
        <w:t xml:space="preserve">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Параметър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Стойност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Продукт</w:t>
            </w:r>
          </w:p>
        </w:tc>
        <w:tc>
          <w:tcPr>
            <w:tcW w:w="4680" w:type="dxa"/>
          </w:tcPr>
          <w:p>
            <w:pPr/>
            <w:r>
              <w:t xml:space="preserve">„SAVENAE Ексфолиращи тампони при враснали косъмчета“, 50 бр., 100 ml, за еднократна употреба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Формула</w:t>
            </w:r>
          </w:p>
        </w:tc>
        <w:tc>
          <w:tcPr>
            <w:tcW w:w="4680" w:type="dxa"/>
          </w:tcPr>
          <w:p>
            <w:pPr/>
            <w:r>
              <w:t xml:space="preserve">Само „AHA + BHA“ на снимките; няма INCI, киселини или проценти никъде в сайта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Зони (текст)</w:t>
            </w:r>
          </w:p>
        </w:tc>
        <w:tc>
          <w:tcPr>
            <w:tcW w:w="4680" w:type="dxa"/>
          </w:tcPr>
          <w:p>
            <w:pPr/>
            <w:r>
              <w:t xml:space="preserve">Крака, подмишници, „външна бикини линия“; не за лице и врат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Метод</w:t>
            </w:r>
          </w:p>
        </w:tc>
        <w:tc>
          <w:tcPr>
            <w:tcW w:w="4680" w:type="dxa"/>
          </w:tcPr>
          <w:p>
            <w:pPr/>
            <w:r>
              <w:t xml:space="preserve">Бръснене на първо място, после кола маска и епилатор; лазер не се споменава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Цени</w:t>
            </w:r>
          </w:p>
        </w:tc>
        <w:tc>
          <w:tcPr>
            <w:tcW w:w="4680" w:type="dxa"/>
          </w:tcPr>
          <w:p>
            <w:pPr/>
            <w:r>
              <w:t xml:space="preserve">Тампони €18,90 (зачертана €22,90) · серум €21,90 · комплект €35,90 · код SAVENAE10 за -10%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Доставка и плащане</w:t>
            </w:r>
          </w:p>
        </w:tc>
        <w:tc>
          <w:tcPr>
            <w:tcW w:w="4680" w:type="dxa"/>
          </w:tcPr>
          <w:p>
            <w:pPr/>
            <w:r>
              <w:t xml:space="preserve">Безплатна доставка само в България, 1–3 работни дни, наложен платеж или карта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Гаранция</w:t>
            </w:r>
          </w:p>
        </w:tc>
        <w:tc>
          <w:tcPr>
            <w:tcW w:w="4680" w:type="dxa"/>
          </w:tcPr>
          <w:p>
            <w:pPr/>
            <w:r>
              <w:t xml:space="preserve">30 дни връщане на парите, „Изпраща се от България“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Социално доказателство</w:t>
            </w:r>
          </w:p>
        </w:tc>
        <w:tc>
          <w:tcPr>
            <w:tcW w:w="4680" w:type="dxa"/>
          </w:tcPr>
          <w:p>
            <w:pPr/>
            <w:r>
              <w:t xml:space="preserve">Няма: 0 ревюта, няма инсталирано приложение за ревюта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Реклами</w:t>
            </w:r>
          </w:p>
        </w:tc>
        <w:tc>
          <w:tcPr>
            <w:tcW w:w="4680" w:type="dxa"/>
          </w:tcPr>
          <w:p>
            <w:pPr/>
            <w:r>
              <w:t xml:space="preserve">0 в Meta Ad Library; няма Meta или TikTok пиксел в кода на страницата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Търговец</w:t>
            </w:r>
          </w:p>
        </w:tc>
        <w:tc>
          <w:tcPr>
            <w:tcW w:w="4680" w:type="dxa"/>
          </w:tcPr>
          <w:p>
            <w:pPr/>
            <w:r>
              <w:t xml:space="preserve">Само „SAVENAE“ и Gmail адрес; няма фирма, ЕИК, адрес или телефон</w:t>
            </w:r>
          </w:p>
        </w:tc>
      </w:tr>
    </w:tbl>
    <w:p>
      <w:pPr/>
      <w:r>
        <w:rPr>
          <w:b/>
        </w:rPr>
        <w:t xml:space="preserve">Силни страни</w:t>
      </w:r>
    </w:p>
    <w:p>
      <w:pPr>
        <w:pStyle w:val="ListParagraph"/>
        <w:numPr>
          <w:ilvl w:val="0"/>
          <w:numId w:val="3"/>
        </w:numPr>
      </w:pPr>
      <w:r>
        <w:t xml:space="preserve">Форматът тампон е свободна ниша в България: нито една активна реклама за тампони и нито един наличен марков тампон в големите вериги.</w:t>
      </w:r>
    </w:p>
    <w:p>
      <w:pPr>
        <w:pStyle w:val="ListParagraph"/>
        <w:numPr>
          <w:ilvl w:val="0"/>
          <w:numId w:val="3"/>
        </w:numPr>
      </w:pPr>
      <w:r>
        <w:t xml:space="preserve">Цената е под LUMI (€20,90) и Deroli (€24,90), а наложеният платеж, безплатната доставка и правописът „враснали“ пасват на местния купувач.</w:t>
      </w:r>
    </w:p>
    <w:p>
      <w:pPr>
        <w:pStyle w:val="ListParagraph"/>
        <w:numPr>
          <w:ilvl w:val="0"/>
          <w:numId w:val="3"/>
        </w:numPr>
      </w:pPr>
      <w:r>
        <w:t xml:space="preserve">Текстът е козметичен и предпазлив („Не лекува и не предотвратява…“), така че лесно минава прегледа на Meta.</w:t>
      </w:r>
    </w:p>
    <w:p>
      <w:pPr/>
      <w:r>
        <w:rPr>
          <w:b/>
        </w:rPr>
        <w:t xml:space="preserve">Пропуски, които този SOP трябва да компенсира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Зона:</w:t>
      </w:r>
      <w:r>
        <w:t xml:space="preserve"> българската болка е в бикини и интимната зона, а страницата води с краката. Една снимка казва „интимна зона“, а текстът само „външна бикини линия“.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Резултат:</w:t>
      </w:r>
      <w:r>
        <w:t xml:space="preserve"> купувачите говорят за белези и тъмни петна, а Savenae обещава само „по-гладко усещане“.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Доверие:</w:t>
      </w:r>
      <w:r>
        <w:t xml:space="preserve"> предварителна поръчка + наложен платеж + 0 ревюта + липсващи данни за фирмата, които Законът за електронната търговия (чл. 4) изисква (</w:t>
      </w:r>
      <w:hyperlink r:id="rId13" w:history="1">
        <w:r>
          <w:rPr>
            <w:rStyle w:val="Hyperlink"/>
          </w:rPr>
          <w:t xml:space="preserve">ЗЕТ</w:t>
        </w:r>
      </w:hyperlink>
      <w:r>
        <w:t xml:space="preserve">). Извод: риск от отказани пратки.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Прозрачност:</w:t>
      </w:r>
      <w:r>
        <w:t xml:space="preserve"> без INCI купувачът няма с какво да сравни срещу First Aid Beauty или PFB Vanish.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Мъже:</w:t>
      </w:r>
      <w:r>
        <w:t xml:space="preserve"> изключени изцяло, докато LUMI и PFB Vanish ги включват.</w:t>
      </w:r>
    </w:p>
    <w:p>
      <w:pPr/>
      <w:r>
        <w:t xml:space="preserve">Името „Smooth Reset Pads“ и комплектът „duo“ повтарят продуктите на американската Caramela Beauty в TikTok Shop. Извод: локализирана американска идея, а предварителната поръчка изглежда като тест на търсенето преди закупуване на стока.</w:t>
      </w:r>
    </w:p>
    <w:p>
      <w:pPr>
        <w:pStyle w:val="Heading2"/>
      </w:pPr>
      <w:r>
        <w:t xml:space="preserve">4. Основен ICP: „Домашна бръсначка на бикини зоната“</w:t>
      </w:r>
    </w:p>
    <w:p>
      <w:pPr/>
      <w:r>
        <w:t xml:space="preserve">Ядрото е жена на 18–34 г. (най-вече 25–34), която се бръсне вкъщи и има повтарящ се, неудобен за обсъждане проблем в бикини зоната. Тя не е готова да плати за лазер. Данните за ревютата са прокси от САЩ и Великобритания; българските са отбелязани с БГ.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Измерение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Профил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Доказателство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Пол и възраст</w:t>
            </w:r>
          </w:p>
        </w:tc>
        <w:tc>
          <w:tcPr>
            <w:tcW w:w="3120" w:type="dxa"/>
          </w:tcPr>
          <w:p>
            <w:pPr/>
            <w:r>
              <w:t xml:space="preserve">Жена 25–34 (ядро) и 18–24 (почти толкова голяма); 35–44 втори кръг. Meta доставя 74% от рекламите на конкурентите до 18–34 (т. 7)</w:t>
            </w:r>
          </w:p>
        </w:tc>
        <w:tc>
          <w:tcPr>
            <w:tcW w:w="3120" w:type="dxa"/>
          </w:tcPr>
          <w:p>
            <w:pPr/>
            <w:r>
              <w:t xml:space="preserve">БГ: онлайн козметика жени 18–24 26,4%, 45–54 18,0% (</w:t>
            </w:r>
            <w:hyperlink r:id="rId3" w:history="1">
              <w:r>
                <w:rPr>
                  <w:rStyle w:val="Hyperlink"/>
                </w:rPr>
                <w:t xml:space="preserve">Eurostat</w:t>
              </w:r>
            </w:hyperlink>
            <w:r>
              <w:t xml:space="preserve">); 57% от ревютата на Bushbalm са от жени 25–44 (</w:t>
            </w:r>
            <w:hyperlink r:id="rId14" w:history="1">
              <w:r>
                <w:rPr>
                  <w:rStyle w:val="Hyperlink"/>
                </w:rPr>
                <w:t xml:space="preserve">Bushbalm</w:t>
              </w:r>
            </w:hyperlink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Място</w:t>
            </w:r>
          </w:p>
        </w:tc>
        <w:tc>
          <w:tcPr>
            <w:tcW w:w="3120" w:type="dxa"/>
          </w:tcPr>
          <w:p>
            <w:pPr/>
            <w:r>
              <w:t xml:space="preserve">Голям град, най-вече София и Югозападен район; след това Варна и Пловдив</w:t>
            </w:r>
          </w:p>
        </w:tc>
        <w:tc>
          <w:tcPr>
            <w:tcW w:w="3120" w:type="dxa"/>
          </w:tcPr>
          <w:p>
            <w:pPr/>
            <w:r>
              <w:t xml:space="preserve">БГ: онлайн козметика в градове 15,0% срещу 5,9% на село; онлайн пазаруване ЮЗ 62,0% срещу ЮИ 37,7% (</w:t>
            </w:r>
            <w:hyperlink r:id="rId15" w:history="1">
              <w:r>
                <w:rPr>
                  <w:rStyle w:val="Hyperlink"/>
                </w:rPr>
                <w:t xml:space="preserve">Eurostat</w:t>
              </w:r>
            </w:hyperlink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Доход</w:t>
            </w:r>
          </w:p>
        </w:tc>
        <w:tc>
          <w:tcPr>
            <w:tcW w:w="3120" w:type="dxa"/>
          </w:tcPr>
          <w:p>
            <w:pPr/>
            <w:r>
              <w:t xml:space="preserve">Работеща; €18,90 е импулсна покупка в София, обмислена в регионите</w:t>
            </w:r>
          </w:p>
        </w:tc>
        <w:tc>
          <w:tcPr>
            <w:tcW w:w="3120" w:type="dxa"/>
          </w:tcPr>
          <w:p>
            <w:pPr/>
            <w:r>
              <w:t xml:space="preserve">БГ: средна брутна заплата €1 444 (Q2 2026), София €1 915, минимална €620 (</w:t>
            </w:r>
            <w:hyperlink r:id="rId16" w:history="1">
              <w:r>
                <w:rPr>
                  <w:rStyle w:val="Hyperlink"/>
                </w:rPr>
                <w:t xml:space="preserve">НСИ</w:t>
              </w:r>
            </w:hyperlink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Метод</w:t>
            </w:r>
          </w:p>
        </w:tc>
        <w:tc>
          <w:tcPr>
            <w:tcW w:w="3120" w:type="dxa"/>
          </w:tcPr>
          <w:p>
            <w:pPr/>
            <w:r>
              <w:t xml:space="preserve">Бръсначка вкъщи; част и кола маска или епилатор</w:t>
            </w:r>
          </w:p>
        </w:tc>
        <w:tc>
          <w:tcPr>
            <w:tcW w:w="3120" w:type="dxa"/>
          </w:tcPr>
          <w:p>
            <w:pPr/>
            <w:r>
              <w:t xml:space="preserve">66,7% от жените в САЩ бръснат с ножче (</w:t>
            </w:r>
            <w:hyperlink r:id="rId17" w:history="1">
              <w:r>
                <w:rPr>
                  <w:rStyle w:val="Hyperlink"/>
                </w:rPr>
                <w:t xml:space="preserve">JAMA Derm 2017</w:t>
              </w:r>
            </w:hyperlink>
            <w:r>
              <w:t xml:space="preserve">); Bushbalm: 59% бръснат, 48% кола маска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Зони</w:t>
            </w:r>
          </w:p>
        </w:tc>
        <w:tc>
          <w:tcPr>
            <w:tcW w:w="3120" w:type="dxa"/>
          </w:tcPr>
          <w:p>
            <w:pPr/>
            <w:r>
              <w:t xml:space="preserve">Бикини линия на първо място, подмишници и крака</w:t>
            </w:r>
          </w:p>
        </w:tc>
        <w:tc>
          <w:tcPr>
            <w:tcW w:w="3120" w:type="dxa"/>
          </w:tcPr>
          <w:p>
            <w:pPr/>
            <w:r>
              <w:t xml:space="preserve">Bushbalm: бикини 86%, подмишници 46%, крака 37%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Кожа и косми</w:t>
            </w:r>
          </w:p>
        </w:tc>
        <w:tc>
          <w:tcPr>
            <w:tcW w:w="3120" w:type="dxa"/>
          </w:tcPr>
          <w:p>
            <w:pPr/>
            <w:r>
              <w:t xml:space="preserve">Чувствителна кожа, светла до маслинена, тъмни косми</w:t>
            </w:r>
          </w:p>
        </w:tc>
        <w:tc>
          <w:tcPr>
            <w:tcW w:w="3120" w:type="dxa"/>
          </w:tcPr>
          <w:p>
            <w:pPr/>
            <w:r>
              <w:t xml:space="preserve">Bushbalm: 55% чувствителна кожа; Sephora FAB: 73% кафява или черна коса (</w:t>
            </w:r>
            <w:hyperlink r:id="rId18" w:history="1">
              <w:r>
                <w:rPr>
                  <w:rStyle w:val="Hyperlink"/>
                </w:rPr>
                <w:t xml:space="preserve">Sephora</w:t>
              </w:r>
            </w:hyperlink>
            <w:r>
              <w:t xml:space="preserve">); БГ: „космите са черни… мъхнат тип“ (</w:t>
            </w:r>
            <w:hyperlink r:id="rId19" w:history="1">
              <w:r>
                <w:rPr>
                  <w:rStyle w:val="Hyperlink"/>
                </w:rPr>
                <w:t xml:space="preserve">bg-mamma</w:t>
              </w:r>
            </w:hyperlink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Тежест</w:t>
            </w:r>
          </w:p>
        </w:tc>
        <w:tc>
          <w:tcPr>
            <w:tcW w:w="3120" w:type="dxa"/>
          </w:tcPr>
          <w:p>
            <w:pPr/>
            <w:r>
              <w:t xml:space="preserve">Лека до умерена: червени точки, пъпчици, подкожни косми, първи петна; не болезнени подутини</w:t>
            </w:r>
          </w:p>
        </w:tc>
        <w:tc>
          <w:tcPr>
            <w:tcW w:w="3120" w:type="dxa"/>
          </w:tcPr>
          <w:p>
            <w:pPr/>
            <w:r>
              <w:t xml:space="preserve">Bushbalm: врастнали косми 88%, пъпки от бръснене 61%, тъмни петна 36%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Плащане</w:t>
            </w:r>
          </w:p>
        </w:tc>
        <w:tc>
          <w:tcPr>
            <w:tcW w:w="3120" w:type="dxa"/>
          </w:tcPr>
          <w:p>
            <w:pPr/>
            <w:r>
              <w:t xml:space="preserve">Наложен платеж, безплатна доставка, гаранция</w:t>
            </w:r>
          </w:p>
        </w:tc>
        <w:tc>
          <w:tcPr>
            <w:tcW w:w="3120" w:type="dxa"/>
          </w:tcPr>
          <w:p>
            <w:pPr/>
            <w:r>
              <w:t xml:space="preserve">Виж т.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Канали</w:t>
            </w:r>
          </w:p>
        </w:tc>
        <w:tc>
          <w:tcPr>
            <w:tcW w:w="3120" w:type="dxa"/>
          </w:tcPr>
          <w:p>
            <w:pPr/>
            <w:r>
              <w:t xml:space="preserve">Instagram и Facebook за покупка; TikTok за осведоменост</w:t>
            </w:r>
          </w:p>
        </w:tc>
        <w:tc>
          <w:tcPr>
            <w:tcW w:w="3120" w:type="dxa"/>
          </w:tcPr>
          <w:p>
            <w:pPr/>
            <w:r>
              <w:t xml:space="preserve">БГ: TikTok 2,63 млн потребители 18+, 61,4% жени, +21% за година (</w:t>
            </w:r>
            <w:hyperlink r:id="rId20" w:history="1">
              <w:r>
                <w:rPr>
                  <w:rStyle w:val="Hyperlink"/>
                </w:rPr>
                <w:t xml:space="preserve">DataReportal</w:t>
              </w:r>
            </w:hyperlink>
            <w:r>
              <w:t xml:space="preserve">)</w:t>
            </w:r>
          </w:p>
        </w:tc>
      </w:tr>
    </w:tbl>
    <w:p>
      <w:pPr/>
      <w:r>
        <w:rPr>
          <w:b/>
        </w:rPr>
        <w:t xml:space="preserve">Задачата, за която „наема“ продукта:</w:t>
      </w:r>
      <w:r>
        <w:t xml:space="preserve"> „Искам да си бръсна бикини зоната вкъщи без червени пъпки и подкожни косми, без да плащам за лазер и без да се крия на плажа.“</w:t>
      </w:r>
    </w:p>
    <w:p>
      <w:pPr/>
      <w:r>
        <w:rPr>
          <w:b/>
        </w:rPr>
        <w:t xml:space="preserve">Тригери за покупка</w:t>
      </w:r>
    </w:p>
    <w:p>
      <w:pPr>
        <w:pStyle w:val="ListParagraph"/>
        <w:numPr>
          <w:ilvl w:val="0"/>
          <w:numId w:val="5"/>
        </w:numPr>
      </w:pPr>
      <w:r>
        <w:t xml:space="preserve">Лято, плаж, басейн или пътуване: най-честият тригер в ревютата (45 от 577 при FAB, 120 от 3 000 при Bushbalm). БГ: „По цяло лято ходех с дълъг панталон“.</w:t>
      </w:r>
    </w:p>
    <w:p>
      <w:pPr>
        <w:pStyle w:val="ListParagraph"/>
        <w:numPr>
          <w:ilvl w:val="0"/>
          <w:numId w:val="5"/>
        </w:numPr>
      </w:pPr>
      <w:r>
        <w:t xml:space="preserve">Среща или партньор: „hiding razor bumps before date?“ (</w:t>
      </w:r>
      <w:hyperlink r:id="rId21" w:history="1">
        <w:r>
          <w:rPr>
            <w:rStyle w:val="Hyperlink"/>
          </w:rPr>
          <w:t xml:space="preserve">Reddit</w:t>
        </w:r>
      </w:hyperlink>
      <w:r>
        <w:t xml:space="preserve">); „my husband even noticed“.</w:t>
      </w:r>
    </w:p>
    <w:p>
      <w:pPr>
        <w:pStyle w:val="ListParagraph"/>
        <w:numPr>
          <w:ilvl w:val="0"/>
          <w:numId w:val="5"/>
        </w:numPr>
      </w:pPr>
      <w:r>
        <w:t xml:space="preserve">Ново обриване след бръснене или след кола маска.</w:t>
      </w:r>
    </w:p>
    <w:p>
      <w:pPr>
        <w:pStyle w:val="ListParagraph"/>
        <w:numPr>
          <w:ilvl w:val="0"/>
          <w:numId w:val="5"/>
        </w:numPr>
      </w:pPr>
      <w:r>
        <w:t xml:space="preserve">Дрехи без ръкави и къси панталони.</w:t>
      </w:r>
    </w:p>
    <w:p>
      <w:pPr/>
      <w:r>
        <w:rPr>
          <w:b/>
        </w:rPr>
        <w:t xml:space="preserve">Емоционална последователност (извод):</w:t>
      </w:r>
      <w:r>
        <w:t xml:space="preserve"> предстоящо „показване“ (лято, среща) → „пробвах всичко“ → прост ритуал от 30 секунди → „вече не се крия“ → продуктът става постоянна част от рутината. Копито трябва да носи крайното състояние, не срама (виж т. 9).</w:t>
      </w:r>
    </w:p>
    <w:p>
      <w:pPr/>
      <w:r>
        <w:rPr>
          <w:b/>
        </w:rPr>
        <w:t xml:space="preserve">Възражения и как се отговаря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Възражение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Колко често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Отговор в рекламата и на страницата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„На мен нищо не действа“</w:t>
            </w:r>
          </w:p>
        </w:tc>
        <w:tc>
          <w:tcPr>
            <w:tcW w:w="3120" w:type="dxa"/>
          </w:tcPr>
          <w:p>
            <w:pPr/>
            <w:r>
              <w:t xml:space="preserve">Най-честата тема в оценки 1–2★ за FAB: 25 от 62</w:t>
            </w:r>
          </w:p>
        </w:tc>
        <w:tc>
          <w:tcPr>
            <w:tcW w:w="3120" w:type="dxa"/>
          </w:tcPr>
          <w:p>
            <w:pPr/>
            <w:r>
              <w:t xml:space="preserve">Реалистичен срок („с постоянство, 2–3 пъти седмично“) + 30-дневна гаранция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„Щипе ли?“</w:t>
            </w:r>
          </w:p>
        </w:tc>
        <w:tc>
          <w:tcPr>
            <w:tcW w:w="3120" w:type="dxa"/>
          </w:tcPr>
          <w:p>
            <w:pPr/>
            <w:r>
              <w:t xml:space="preserve">Страхът е чест; ~8,5% от ревютата за FAB описват парене</w:t>
            </w:r>
          </w:p>
        </w:tc>
        <w:tc>
          <w:tcPr>
            <w:tcW w:w="3120" w:type="dxa"/>
          </w:tcPr>
          <w:p>
            <w:pPr/>
            <w:r>
              <w:t xml:space="preserve">Правило за употреба: не веднага след кола маска, не върху ранена кожа; „не щипе“ само ако е тествано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Цена за тампон</w:t>
            </w:r>
          </w:p>
        </w:tc>
        <w:tc>
          <w:tcPr>
            <w:tcW w:w="3120" w:type="dxa"/>
          </w:tcPr>
          <w:p>
            <w:pPr/>
            <w:r>
              <w:t xml:space="preserve">16 от 62 ниски оценки; хора режат тампоните на две</w:t>
            </w:r>
          </w:p>
        </w:tc>
        <w:tc>
          <w:tcPr>
            <w:tcW w:w="3120" w:type="dxa"/>
          </w:tcPr>
          <w:p>
            <w:pPr/>
            <w:r>
              <w:t xml:space="preserve">„50 тампона = €0,38 на брой“; достатъчно големи и напоени тампони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„Нова марка, без ревюта“</w:t>
            </w:r>
          </w:p>
        </w:tc>
        <w:tc>
          <w:tcPr>
            <w:tcW w:w="3120" w:type="dxa"/>
          </w:tcPr>
          <w:p>
            <w:pPr/>
            <w:r>
              <w:t xml:space="preserve">Savenae има 0 ревюта</w:t>
            </w:r>
          </w:p>
        </w:tc>
        <w:tc>
          <w:tcPr>
            <w:tcW w:w="3120" w:type="dxa"/>
          </w:tcPr>
          <w:p>
            <w:pPr/>
            <w:r>
              <w:t xml:space="preserve">Наложен платеж, гаранция, данни за фирмата (ЕИК, адрес, телефон), истински UGC видеа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„Защо не тоник + памук?“</w:t>
            </w:r>
          </w:p>
        </w:tc>
        <w:tc>
          <w:tcPr>
            <w:tcW w:w="3120" w:type="dxa"/>
          </w:tcPr>
          <w:p>
            <w:pPr/>
            <w:r>
              <w:t xml:space="preserve">Чест съвет в Reddit</w:t>
            </w:r>
          </w:p>
        </w:tc>
        <w:tc>
          <w:tcPr>
            <w:tcW w:w="3120" w:type="dxa"/>
          </w:tcPr>
          <w:p>
            <w:pPr/>
            <w:r>
              <w:t xml:space="preserve">Готови за употреба, дозирани, за пътуване; „ексфолиране там, където ръкавицата не става“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„Лазерът е единственото спасение“</w:t>
            </w:r>
          </w:p>
        </w:tc>
        <w:tc>
          <w:tcPr>
            <w:tcW w:w="3120" w:type="dxa"/>
          </w:tcPr>
          <w:p>
            <w:pPr/>
            <w:r>
              <w:t xml:space="preserve">БГ: бикини лазер €13–35 на сесия, курс ~€150–250 (</w:t>
            </w:r>
            <w:hyperlink r:id="rId22" w:history="1">
              <w:r>
                <w:rPr>
                  <w:rStyle w:val="Hyperlink"/>
                </w:rPr>
                <w:t xml:space="preserve">Studio24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„Докато стигнеш до лазера“ или „между сесиите“; €18,90 срещу целия курс</w:t>
            </w:r>
          </w:p>
        </w:tc>
      </w:tr>
    </w:tbl>
    <w:p>
      <w:pPr>
        <w:pStyle w:val="Heading2"/>
      </w:pPr>
      <w:r>
        <w:t xml:space="preserve">5. Вторични сегменти и кого да изключим</w:t>
      </w:r>
    </w:p>
    <w:p>
      <w:pPr/>
      <w:r>
        <w:t xml:space="preserve">Вторият сегмент за Meta са клиентките на кола маска на 18–34 г. Мъжете и тежките случаи не са цел в началото. Подредбата е извод от честота в ревютата (прокси) и от българските данни за онлайн пазаруване; не е измерена с реални продажби.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Приоритет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Сегмент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Защо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Послание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Канал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Клиентки на кола маска, 18–34</w:t>
            </w:r>
          </w:p>
        </w:tc>
        <w:tc>
          <w:tcPr>
            <w:tcW w:w="1872" w:type="dxa"/>
          </w:tcPr>
          <w:p>
            <w:pPr/>
            <w:r>
              <w:t xml:space="preserve">48% от ревютата на Bushbalm са с кола маска, 58% при 18–24; интимна кола маска в БГ струва €10–15</w:t>
            </w:r>
          </w:p>
        </w:tc>
        <w:tc>
          <w:tcPr>
            <w:tcW w:w="1872" w:type="dxa"/>
          </w:tcPr>
          <w:p>
            <w:pPr/>
            <w:r>
              <w:t xml:space="preserve">„Грижа между две кола маски“; почакай 24–48 ч. след депилация</w:t>
            </w:r>
          </w:p>
        </w:tc>
        <w:tc>
          <w:tcPr>
            <w:tcW w:w="1872" w:type="dxa"/>
          </w:tcPr>
          <w:p>
            <w:pPr/>
            <w:r>
              <w:t xml:space="preserve">Meta + партньорства със студиа за кола маска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Подмишници</w:t>
            </w:r>
          </w:p>
        </w:tc>
        <w:tc>
          <w:tcPr>
            <w:tcW w:w="1872" w:type="dxa"/>
          </w:tcPr>
          <w:p>
            <w:pPr/>
            <w:r>
              <w:t xml:space="preserve">Припокрива се с ядрото в половината случаи; 46% от зоните при Bushbalm</w:t>
            </w:r>
          </w:p>
        </w:tc>
        <w:tc>
          <w:tcPr>
            <w:tcW w:w="1872" w:type="dxa"/>
          </w:tcPr>
          <w:p>
            <w:pPr/>
            <w:r>
              <w:t xml:space="preserve">„Без червени точици след бръснене – и под мишниците“</w:t>
            </w:r>
          </w:p>
        </w:tc>
        <w:tc>
          <w:tcPr>
            <w:tcW w:w="1872" w:type="dxa"/>
          </w:tcPr>
          <w:p>
            <w:pPr/>
            <w:r>
              <w:t xml:space="preserve">Допълнение към ядрото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Крака: червени точки, „strawberry legs“</w:t>
            </w:r>
          </w:p>
        </w:tc>
        <w:tc>
          <w:tcPr>
            <w:tcW w:w="1872" w:type="dxa"/>
          </w:tcPr>
          <w:p>
            <w:pPr/>
            <w:r>
              <w:t xml:space="preserve">Текущият фокус на Savenae; 37% от зоните; малките тампони са често възражение</w:t>
            </w:r>
          </w:p>
        </w:tc>
        <w:tc>
          <w:tcPr>
            <w:tcW w:w="1872" w:type="dxa"/>
          </w:tcPr>
          <w:p>
            <w:pPr/>
            <w:r>
              <w:t xml:space="preserve">„Гладки крака на следващата сутрин“; 50 бр. стигат за големи зони</w:t>
            </w:r>
          </w:p>
        </w:tc>
        <w:tc>
          <w:tcPr>
            <w:tcW w:w="1872" w:type="dxa"/>
          </w:tcPr>
          <w:p>
            <w:pPr/>
            <w:r>
              <w:t xml:space="preserve">Meta, TikTok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Тъмни петна и белези от врастнали косми</w:t>
            </w:r>
          </w:p>
        </w:tc>
        <w:tc>
          <w:tcPr>
            <w:tcW w:w="1872" w:type="dxa"/>
          </w:tcPr>
          <w:p>
            <w:pPr/>
            <w:r>
              <w:t xml:space="preserve">36% от оплакванията, до 84% при много тъмна кожа; силна емоция</w:t>
            </w:r>
          </w:p>
        </w:tc>
        <w:tc>
          <w:tcPr>
            <w:tcW w:w="1872" w:type="dxa"/>
          </w:tcPr>
          <w:p>
            <w:pPr/>
            <w:r>
              <w:t xml:space="preserve">Savenae няма твърдение за изсветляване: говори само за „по-малко нови враснали косъмчета“</w:t>
            </w:r>
          </w:p>
        </w:tc>
        <w:tc>
          <w:tcPr>
            <w:tcW w:w="1872" w:type="dxa"/>
          </w:tcPr>
          <w:p>
            <w:pPr/>
            <w:r>
              <w:t xml:space="preserve">Meta, с повишено внимание към твърденията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Жени между лазерни сесии или които чакат лазер</w:t>
            </w:r>
          </w:p>
        </w:tc>
        <w:tc>
          <w:tcPr>
            <w:tcW w:w="1872" w:type="dxa"/>
          </w:tcPr>
          <w:p>
            <w:pPr/>
            <w:r>
              <w:t xml:space="preserve">6,9% от ревютата на Bushbalm; между сесиите се бръснат</w:t>
            </w:r>
          </w:p>
        </w:tc>
        <w:tc>
          <w:tcPr>
            <w:tcW w:w="1872" w:type="dxa"/>
          </w:tcPr>
          <w:p>
            <w:pPr/>
            <w:r>
              <w:t xml:space="preserve">„Докато стигнеш до лазера“ (спазвай правилата на клиниката)</w:t>
            </w:r>
          </w:p>
        </w:tc>
        <w:tc>
          <w:tcPr>
            <w:tcW w:w="1872" w:type="dxa"/>
          </w:tcPr>
          <w:p>
            <w:pPr/>
            <w:r>
              <w:t xml:space="preserve">Meta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Мъже</w:t>
            </w:r>
          </w:p>
        </w:tc>
        <w:tc>
          <w:tcPr>
            <w:tcW w:w="1872" w:type="dxa"/>
          </w:tcPr>
          <w:p>
            <w:pPr/>
            <w:r>
              <w:t xml:space="preserve">БГ: само 4,0% купуват козметика онлайн; 0 от 577 ревюта за FAB са от мъже; Savenae изключва лице и врат</w:t>
            </w:r>
          </w:p>
        </w:tc>
        <w:tc>
          <w:tcPr>
            <w:tcW w:w="1872" w:type="dxa"/>
          </w:tcPr>
          <w:p>
            <w:pPr/>
            <w:r>
              <w:t xml:space="preserve">През жената: „и за него“, комплект за двама</w:t>
            </w:r>
          </w:p>
        </w:tc>
        <w:tc>
          <w:tcPr>
            <w:tcW w:w="1872" w:type="dxa"/>
          </w:tcPr>
          <w:p>
            <w:pPr/>
            <w:r>
              <w:t xml:space="preserve">Тест чак след като ядрото работи</w:t>
            </w:r>
          </w:p>
        </w:tc>
      </w:tr>
    </w:tbl>
    <w:p>
      <w:pPr/>
      <w:r>
        <w:rPr>
          <w:b/>
        </w:rPr>
        <w:t xml:space="preserve">Изключваме от таргетирането и посланията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Болезнени подутини, фоликулит, кисти.</w:t>
      </w:r>
      <w:r>
        <w:t xml:space="preserve"> Тези хора отиват на лекар и купуват предписани кремове (Фусидин, Далацин) (</w:t>
      </w:r>
      <w:hyperlink r:id="rId23" w:history="1">
        <w:r>
          <w:rPr>
            <w:rStyle w:val="Hyperlink"/>
          </w:rPr>
          <w:t xml:space="preserve">bg-mamma, 2025</w:t>
        </w:r>
      </w:hyperlink>
      <w:r>
        <w:t xml:space="preserve">). На страницата добави: „При болезнени, подути или възпалени участъци потърси лекар.“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Под 18 г.</w:t>
      </w:r>
      <w:r>
        <w:t xml:space="preserve"> Интимната зона и киселините не са тема за непълнолетни.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55+ и селските райони като самостоятелна цел.</w:t>
      </w:r>
      <w:r>
        <w:t xml:space="preserve"> Онлайн козметика купуват 9,3% от жените 55–64 и 5,9% в селата (</w:t>
      </w:r>
      <w:hyperlink r:id="rId3" w:history="1">
        <w:r>
          <w:rPr>
            <w:rStyle w:val="Hyperlink"/>
          </w:rPr>
          <w:t xml:space="preserve">Eurostat</w:t>
        </w:r>
      </w:hyperlink>
      <w:r>
        <w:t xml:space="preserve">). Не ги изключвай твърдо, но не прави креативи за тях.</w:t>
      </w:r>
    </w:p>
    <w:p>
      <w:pPr>
        <w:pStyle w:val="Heading2"/>
      </w:pPr>
      <w:r>
        <w:t xml:space="preserve">6. Гласът на клиента: думи за копи</w:t>
      </w:r>
    </w:p>
    <w:p>
      <w:pPr/>
      <w:r>
        <w:t xml:space="preserve">Българките казват „подкожни косми“ толкова често, колкото и „врастнали“. Историята им винаги е една: срам, много неуспешни опити и лазерът като скъпа крайна цел. Цитатите са дословни, повечето от форума bg-mamma през 2010–2019 г. (</w:t>
      </w:r>
      <w:hyperlink r:id="rId19" w:history="1">
        <w:r>
          <w:rPr>
            <w:rStyle w:val="Hyperlink"/>
          </w:rPr>
          <w:t xml:space="preserve">тема 1</w:t>
        </w:r>
      </w:hyperlink>
      <w:r>
        <w:t xml:space="preserve">; </w:t>
      </w:r>
      <w:hyperlink r:id="rId24" w:history="1">
        <w:r>
          <w:rPr>
            <w:rStyle w:val="Hyperlink"/>
          </w:rPr>
          <w:t xml:space="preserve">тема 2</w:t>
        </w:r>
      </w:hyperlink>
      <w:r>
        <w:t xml:space="preserve">; </w:t>
      </w:r>
      <w:hyperlink r:id="rId25" w:history="1">
        <w:r>
          <w:rPr>
            <w:rStyle w:val="Hyperlink"/>
          </w:rPr>
          <w:t xml:space="preserve">тема 3</w:t>
        </w:r>
      </w:hyperlink>
      <w:r>
        <w:t xml:space="preserve">; </w:t>
      </w:r>
      <w:hyperlink r:id="rId26" w:history="1">
        <w:r>
          <w:rPr>
            <w:rStyle w:val="Hyperlink"/>
          </w:rPr>
          <w:t xml:space="preserve">тема 4</w:t>
        </w:r>
      </w:hyperlink>
      <w:r>
        <w:t xml:space="preserve">; </w:t>
      </w:r>
      <w:hyperlink r:id="rId27" w:history="1">
        <w:r>
          <w:rPr>
            <w:rStyle w:val="Hyperlink"/>
          </w:rPr>
          <w:t xml:space="preserve">тема 5</w:t>
        </w:r>
      </w:hyperlink>
      <w:r>
        <w:t xml:space="preserve">). Независими български ревюта от 2024–2026 г. не бяха намерени.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Тема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Дословни фрази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Как да ги ползваме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Име на проблема</w:t>
            </w:r>
          </w:p>
        </w:tc>
        <w:tc>
          <w:tcPr>
            <w:tcW w:w="3120" w:type="dxa"/>
          </w:tcPr>
          <w:p>
            <w:pPr/>
            <w:r>
              <w:t xml:space="preserve">„подкожни косъмчета“, „враснал косъм“, „обърнати косъмчета“, „гадинки“</w:t>
            </w:r>
          </w:p>
        </w:tc>
        <w:tc>
          <w:tcPr>
            <w:tcW w:w="3120" w:type="dxa"/>
          </w:tcPr>
          <w:p>
            <w:pPr/>
            <w:r>
              <w:t xml:space="preserve">В заглавията ползвай и „подкожни“, и „враснали“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Зоната</w:t>
            </w:r>
          </w:p>
        </w:tc>
        <w:tc>
          <w:tcPr>
            <w:tcW w:w="3120" w:type="dxa"/>
          </w:tcPr>
          <w:p>
            <w:pPr/>
            <w:r>
              <w:t xml:space="preserve">„на триъгълника“, „интима“, „там долу“, „по бикини линията“, „вътрешната страна на бедрата“</w:t>
            </w:r>
          </w:p>
        </w:tc>
        <w:tc>
          <w:tcPr>
            <w:tcW w:w="3120" w:type="dxa"/>
          </w:tcPr>
          <w:p>
            <w:pPr/>
            <w:r>
              <w:t xml:space="preserve">Бикини линия на първо място, дискретно; без вулгарни думи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Как изглежда</w:t>
            </w:r>
          </w:p>
        </w:tc>
        <w:tc>
          <w:tcPr>
            <w:tcW w:w="3120" w:type="dxa"/>
          </w:tcPr>
          <w:p>
            <w:pPr/>
            <w:r>
              <w:t xml:space="preserve">„малки пъпчици (по бикини линията)“, „червените петна, които остават по краката“, „от коленете нагоре са ужасни“</w:t>
            </w:r>
          </w:p>
        </w:tc>
        <w:tc>
          <w:tcPr>
            <w:tcW w:w="3120" w:type="dxa"/>
          </w:tcPr>
          <w:p>
            <w:pPr/>
            <w:r>
              <w:t xml:space="preserve">За куката в първите 3 секунди; „топче до слабините“ и „боли“ са за лекар, не за реклама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Срам и криене</w:t>
            </w:r>
          </w:p>
        </w:tc>
        <w:tc>
          <w:tcPr>
            <w:tcW w:w="3120" w:type="dxa"/>
          </w:tcPr>
          <w:p>
            <w:pPr/>
            <w:r>
              <w:t xml:space="preserve">„Малко ме е срам, но да попитам…“, „По цяло лято ходех с дълъг панталон“, „не ми е комфортно през летните месеци да ходя с къси панталонки“</w:t>
            </w:r>
          </w:p>
        </w:tc>
        <w:tc>
          <w:tcPr>
            <w:tcW w:w="3120" w:type="dxa"/>
          </w:tcPr>
          <w:p>
            <w:pPr/>
            <w:r>
              <w:t xml:space="preserve">Само в история от първо лице в адверториал; в рекламата показвай крайното състояние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Неуспешни опити</w:t>
            </w:r>
          </w:p>
        </w:tc>
        <w:tc>
          <w:tcPr>
            <w:tcW w:w="3120" w:type="dxa"/>
          </w:tcPr>
          <w:p>
            <w:pPr/>
            <w:r>
              <w:t xml:space="preserve">„Пробвах почти всичко и ефект няма“, „от всички прехвалени… мазила при мен ефект нулев“, „IngrowGо бях взела – никакъв ефект“</w:t>
            </w:r>
          </w:p>
        </w:tc>
        <w:tc>
          <w:tcPr>
            <w:tcW w:w="3120" w:type="dxa"/>
          </w:tcPr>
          <w:p>
            <w:pPr/>
            <w:r>
              <w:t xml:space="preserve">Угъл „нов начин“: не още един крем, а ексфолиране с едно прокарване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Чоплене</w:t>
            </w:r>
          </w:p>
        </w:tc>
        <w:tc>
          <w:tcPr>
            <w:tcW w:w="3120" w:type="dxa"/>
          </w:tcPr>
          <w:p>
            <w:pPr/>
            <w:r>
              <w:t xml:space="preserve">„стискам, дупча с игли докато не излезе… Но така не се прави“</w:t>
            </w:r>
          </w:p>
        </w:tc>
        <w:tc>
          <w:tcPr>
            <w:tcW w:w="3120" w:type="dxa"/>
          </w:tcPr>
          <w:p>
            <w:pPr/>
            <w:r>
              <w:t xml:space="preserve">„Без чоплене и дърпане“ (вече е на страницата на Savenae)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Защо тампон</w:t>
            </w:r>
          </w:p>
        </w:tc>
        <w:tc>
          <w:tcPr>
            <w:tcW w:w="3120" w:type="dxa"/>
          </w:tcPr>
          <w:p>
            <w:pPr/>
            <w:r>
              <w:t xml:space="preserve">За ексфолиране на триъгълника: „много трудно и неудобно“; за пемзата: „малко ми щипе“</w:t>
            </w:r>
          </w:p>
        </w:tc>
        <w:tc>
          <w:tcPr>
            <w:tcW w:w="3120" w:type="dxa"/>
          </w:tcPr>
          <w:p>
            <w:pPr/>
            <w:r>
              <w:t xml:space="preserve">Главен аргумент за формата: „там, където ръкавицата и скрабът не стават“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Отчаяние</w:t>
            </w:r>
          </w:p>
        </w:tc>
        <w:tc>
          <w:tcPr>
            <w:tcW w:w="3120" w:type="dxa"/>
          </w:tcPr>
          <w:p>
            <w:pPr/>
            <w:r>
              <w:t xml:space="preserve">„Вдигнала съм ръце“, „разбрах, че спасение няма“</w:t>
            </w:r>
          </w:p>
        </w:tc>
        <w:tc>
          <w:tcPr>
            <w:tcW w:w="3120" w:type="dxa"/>
          </w:tcPr>
          <w:p>
            <w:pPr/>
            <w:r>
              <w:t xml:space="preserve">Кука към уморените: „Ако си вдигнала ръце от кремове…“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Лазерът</w:t>
            </w:r>
          </w:p>
        </w:tc>
        <w:tc>
          <w:tcPr>
            <w:tcW w:w="3120" w:type="dxa"/>
          </w:tcPr>
          <w:p>
            <w:pPr/>
            <w:r>
              <w:t xml:space="preserve">„лазерната епилация е единственото спасение“, „Дадох една торба с пари“, „Започвам да спестявам от закуски за лазерна“</w:t>
            </w:r>
          </w:p>
        </w:tc>
        <w:tc>
          <w:tcPr>
            <w:tcW w:w="3120" w:type="dxa"/>
          </w:tcPr>
          <w:p>
            <w:pPr/>
            <w:r>
              <w:t xml:space="preserve">„Докато стигнеш до лазера“; €18,90 срещу „торба с пари“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Кожа и косми</w:t>
            </w:r>
          </w:p>
        </w:tc>
        <w:tc>
          <w:tcPr>
            <w:tcW w:w="3120" w:type="dxa"/>
          </w:tcPr>
          <w:p>
            <w:pPr/>
            <w:r>
              <w:t xml:space="preserve">„космите са черни и като цяло съм мъхнат тип“, „Кожата ми е много чувствителна“</w:t>
            </w:r>
          </w:p>
        </w:tc>
        <w:tc>
          <w:tcPr>
            <w:tcW w:w="3120" w:type="dxa"/>
          </w:tcPr>
          <w:p>
            <w:pPr/>
            <w:r>
              <w:t xml:space="preserve">Назови „тъмни, плътни косъмчета“ и „чувствителна кожа“ без осъждане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Партньор</w:t>
            </w:r>
          </w:p>
        </w:tc>
        <w:tc>
          <w:tcPr>
            <w:tcW w:w="3120" w:type="dxa"/>
          </w:tcPr>
          <w:p>
            <w:pPr/>
            <w:r>
              <w:t xml:space="preserve">„Двамата с мъжо ще ползваме“ (за PFB Vanish)</w:t>
            </w:r>
          </w:p>
        </w:tc>
        <w:tc>
          <w:tcPr>
            <w:tcW w:w="3120" w:type="dxa"/>
          </w:tcPr>
          <w:p>
            <w:pPr/>
            <w:r>
              <w:t xml:space="preserve">Комплект за двама, по-висока средна поръчка</w:t>
            </w:r>
          </w:p>
        </w:tc>
      </w:tr>
    </w:tbl>
    <w:p>
      <w:pPr/>
      <w:r>
        <w:t xml:space="preserve">Правописът „враснали“ е почти толкова чест в рекламите, колкото и „врастнали“ (~26 срещу ~29 активни реклами в Meta Ad Library на 6 октомври 2026 г.), затова е добре да се ползват и двата варианта в текстовете и в SEO.</w:t>
      </w:r>
    </w:p>
    <w:p>
      <w:pPr>
        <w:pStyle w:val="Heading2"/>
      </w:pPr>
      <w:r>
        <w:t xml:space="preserve">7. Кого достигат конкурентите в Meta</w:t>
      </w:r>
    </w:p>
    <w:p>
      <w:pPr/>
      <w:r>
        <w:t xml:space="preserve">Meta доставя рекламите на преките конкуренти основно до жени на 18–34 г. При 79 реклами на LUMI, Deroli и SimplyBeauty (2,36 млн. сумарен обхват) 91% от обхвата е при жени, а 74% при 18–34 г. Това е най-прякото доказателство за ICP, защото алгоритъмът насочва показванията към хората, които купуват (извод: приемаме, че кампаниите са за продажби).</w:t>
      </w:r>
    </w:p>
    <w:p>
      <w:pPr/>
      <w:r>
        <w:drawing>
          <wp:inline distT="0" distB="0" distL="0" distR="0">
            <wp:extent cx="5486400" cy="2481942"/>
            <wp:docPr id="1" name="image1" descr="Meta Ad Library, данни за прозрачност в ЕС · 235 реклами в България, сумарен обхват (без дедупликация) · 6 окт. 20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eta Ad Library, данни за прозрачност в ЕС · 235 реклами в България, сумарен обхват (без дедупликация) · 6 окт. 202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Meta Ad Library, данни за прозрачност в ЕС · 235 реклами в България, сумарен обхват (без дедупликация) · 6 окт. 2026</w:t>
      </w:r>
    </w:p>
    <w:p>
      <w:pPr/>
      <w:r>
        <w:t xml:space="preserve">Разпределението е почти същото при рекламите, въртени 30+ дни (34/39/19% за 18–24/25–34/35–44), и при кратките тестове (37/39/17%). LUMI таргетира всички полове 18–65, а Deroli главно жени 18–65, но и двете получават почти еднакъв резултат. Когато полът е оставен отворен, Meta пак дава 91% на жени. Посланието определя възрастта: интимната грижа (миризма, хигиена) стига до 45–54 г., а лазерните клиники до 25–44 г.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Рекламодател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Продукт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Реклами с данни (активни)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Сумарен обхват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Жени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18–34 г.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Таргетиране</w:t>
            </w:r>
          </w:p>
        </w:tc>
      </w:tr>
      <w:tr>
        <w:tc>
          <w:tcPr>
            <w:tcW w:w="1337" w:type="dxa"/>
          </w:tcPr>
          <w:p>
            <w:pPr/>
            <w:hyperlink r:id="rId29" w:history="1">
              <w:r>
                <w:rPr>
                  <w:rStyle w:val="Hyperlink"/>
                </w:rPr>
                <w:t xml:space="preserve">LUMI</w:t>
              </w:r>
            </w:hyperlink>
          </w:p>
        </w:tc>
        <w:tc>
          <w:tcPr>
            <w:tcW w:w="1337" w:type="dxa"/>
          </w:tcPr>
          <w:p>
            <w:pPr/>
            <w:r>
              <w:t xml:space="preserve">Рол-он, €20,90</w:t>
            </w:r>
          </w:p>
        </w:tc>
        <w:tc>
          <w:tcPr>
            <w:tcW w:w="1337" w:type="dxa"/>
          </w:tcPr>
          <w:p>
            <w:pPr/>
            <w:r>
              <w:t xml:space="preserve">30 (3)</w:t>
            </w:r>
          </w:p>
        </w:tc>
        <w:tc>
          <w:tcPr>
            <w:tcW w:w="1337" w:type="dxa"/>
          </w:tcPr>
          <w:p>
            <w:pPr/>
            <w:r>
              <w:t xml:space="preserve">1 900 121</w:t>
            </w:r>
          </w:p>
        </w:tc>
        <w:tc>
          <w:tcPr>
            <w:tcW w:w="1337" w:type="dxa"/>
          </w:tcPr>
          <w:p>
            <w:pPr/>
            <w:r>
              <w:t xml:space="preserve">91%</w:t>
            </w:r>
          </w:p>
        </w:tc>
        <w:tc>
          <w:tcPr>
            <w:tcW w:w="1337" w:type="dxa"/>
          </w:tcPr>
          <w:p>
            <w:pPr/>
            <w:r>
              <w:t xml:space="preserve">76%</w:t>
            </w:r>
          </w:p>
        </w:tc>
        <w:tc>
          <w:tcPr>
            <w:tcW w:w="1337" w:type="dxa"/>
          </w:tcPr>
          <w:p>
            <w:pPr/>
            <w:r>
              <w:t xml:space="preserve">Всички полове, 18–65</w:t>
            </w:r>
          </w:p>
        </w:tc>
      </w:tr>
      <w:tr>
        <w:tc>
          <w:tcPr>
            <w:tcW w:w="1337" w:type="dxa"/>
          </w:tcPr>
          <w:p>
            <w:pPr/>
            <w:hyperlink r:id="rId30" w:history="1">
              <w:r>
                <w:rPr>
                  <w:rStyle w:val="Hyperlink"/>
                </w:rPr>
                <w:t xml:space="preserve">Deroli</w:t>
              </w:r>
            </w:hyperlink>
          </w:p>
        </w:tc>
        <w:tc>
          <w:tcPr>
            <w:tcW w:w="1337" w:type="dxa"/>
          </w:tcPr>
          <w:p>
            <w:pPr/>
            <w:r>
              <w:t xml:space="preserve">Рол-он, €24,90</w:t>
            </w:r>
          </w:p>
        </w:tc>
        <w:tc>
          <w:tcPr>
            <w:tcW w:w="1337" w:type="dxa"/>
          </w:tcPr>
          <w:p>
            <w:pPr/>
            <w:r>
              <w:t xml:space="preserve">48 (30)</w:t>
            </w:r>
          </w:p>
        </w:tc>
        <w:tc>
          <w:tcPr>
            <w:tcW w:w="1337" w:type="dxa"/>
          </w:tcPr>
          <w:p>
            <w:pPr/>
            <w:r>
              <w:t xml:space="preserve">454 760</w:t>
            </w:r>
          </w:p>
        </w:tc>
        <w:tc>
          <w:tcPr>
            <w:tcW w:w="1337" w:type="dxa"/>
          </w:tcPr>
          <w:p>
            <w:pPr/>
            <w:r>
              <w:t xml:space="preserve">93%</w:t>
            </w:r>
          </w:p>
        </w:tc>
        <w:tc>
          <w:tcPr>
            <w:tcW w:w="1337" w:type="dxa"/>
          </w:tcPr>
          <w:p>
            <w:pPr/>
            <w:r>
              <w:t xml:space="preserve">71%</w:t>
            </w:r>
          </w:p>
        </w:tc>
        <w:tc>
          <w:tcPr>
            <w:tcW w:w="1337" w:type="dxa"/>
          </w:tcPr>
          <w:p>
            <w:pPr/>
            <w:r>
              <w:t xml:space="preserve">Жени 18–65 (32), всички 18–65 (16)</w:t>
            </w:r>
          </w:p>
        </w:tc>
      </w:tr>
      <w:tr>
        <w:tc>
          <w:tcPr>
            <w:tcW w:w="1337" w:type="dxa"/>
          </w:tcPr>
          <w:p>
            <w:pPr/>
            <w:hyperlink r:id="rId31" w:history="1">
              <w:r>
                <w:rPr>
                  <w:rStyle w:val="Hyperlink"/>
                </w:rPr>
                <w:t xml:space="preserve">G Point</w:t>
              </w:r>
            </w:hyperlink>
          </w:p>
        </w:tc>
        <w:tc>
          <w:tcPr>
            <w:tcW w:w="1337" w:type="dxa"/>
          </w:tcPr>
          <w:p>
            <w:pPr/>
            <w:r>
              <w:t xml:space="preserve">Лазер, „Пълен интим – 24 €“</w:t>
            </w:r>
          </w:p>
        </w:tc>
        <w:tc>
          <w:tcPr>
            <w:tcW w:w="1337" w:type="dxa"/>
          </w:tcPr>
          <w:p>
            <w:pPr/>
            <w:r>
              <w:t xml:space="preserve">34 (32)</w:t>
            </w:r>
          </w:p>
        </w:tc>
        <w:tc>
          <w:tcPr>
            <w:tcW w:w="1337" w:type="dxa"/>
          </w:tcPr>
          <w:p>
            <w:pPr/>
            <w:r>
              <w:t xml:space="preserve">2 851 147</w:t>
            </w:r>
          </w:p>
        </w:tc>
        <w:tc>
          <w:tcPr>
            <w:tcW w:w="1337" w:type="dxa"/>
          </w:tcPr>
          <w:p>
            <w:pPr/>
            <w:r>
              <w:t xml:space="preserve">100%</w:t>
            </w:r>
          </w:p>
        </w:tc>
        <w:tc>
          <w:tcPr>
            <w:tcW w:w="1337" w:type="dxa"/>
          </w:tcPr>
          <w:p>
            <w:pPr/>
            <w:r>
              <w:t xml:space="preserve">47%</w:t>
            </w:r>
          </w:p>
        </w:tc>
        <w:tc>
          <w:tcPr>
            <w:tcW w:w="1337" w:type="dxa"/>
          </w:tcPr>
          <w:p>
            <w:pPr/>
            <w:r>
              <w:t xml:space="preserve">Жени 18–55, по градове</w:t>
            </w:r>
          </w:p>
        </w:tc>
      </w:tr>
      <w:tr>
        <w:tc>
          <w:tcPr>
            <w:tcW w:w="1337" w:type="dxa"/>
          </w:tcPr>
          <w:p>
            <w:pPr/>
            <w:hyperlink r:id="rId32" w:history="1">
              <w:r>
                <w:rPr>
                  <w:rStyle w:val="Hyperlink"/>
                </w:rPr>
                <w:t xml:space="preserve">Bielle</w:t>
              </w:r>
            </w:hyperlink>
          </w:p>
        </w:tc>
        <w:tc>
          <w:tcPr>
            <w:tcW w:w="1337" w:type="dxa"/>
          </w:tcPr>
          <w:p>
            <w:pPr/>
            <w:r>
              <w:t xml:space="preserve">Ексфолираща кърпа</w:t>
            </w:r>
          </w:p>
        </w:tc>
        <w:tc>
          <w:tcPr>
            <w:tcW w:w="1337" w:type="dxa"/>
          </w:tcPr>
          <w:p>
            <w:pPr/>
            <w:r>
              <w:t xml:space="preserve">21 (8)</w:t>
            </w:r>
          </w:p>
        </w:tc>
        <w:tc>
          <w:tcPr>
            <w:tcW w:w="1337" w:type="dxa"/>
          </w:tcPr>
          <w:p>
            <w:pPr/>
            <w:r>
              <w:t xml:space="preserve">649 077</w:t>
            </w:r>
          </w:p>
        </w:tc>
        <w:tc>
          <w:tcPr>
            <w:tcW w:w="1337" w:type="dxa"/>
          </w:tcPr>
          <w:p>
            <w:pPr/>
            <w:r>
              <w:t xml:space="preserve">82%</w:t>
            </w:r>
          </w:p>
        </w:tc>
        <w:tc>
          <w:tcPr>
            <w:tcW w:w="1337" w:type="dxa"/>
          </w:tcPr>
          <w:p>
            <w:pPr/>
            <w:r>
              <w:t xml:space="preserve">15%</w:t>
            </w:r>
          </w:p>
        </w:tc>
        <w:tc>
          <w:tcPr>
            <w:tcW w:w="1337" w:type="dxa"/>
          </w:tcPr>
          <w:p>
            <w:pPr/>
            <w:r>
              <w:t xml:space="preserve">Всички полове, 18–65</w:t>
            </w:r>
          </w:p>
        </w:tc>
      </w:tr>
      <w:tr>
        <w:tc>
          <w:tcPr>
            <w:tcW w:w="1337" w:type="dxa"/>
          </w:tcPr>
          <w:p>
            <w:pPr/>
            <w:hyperlink r:id="rId33" w:history="1">
              <w:r>
                <w:rPr>
                  <w:rStyle w:val="Hyperlink"/>
                </w:rPr>
                <w:t xml:space="preserve">NONA</w:t>
              </w:r>
            </w:hyperlink>
          </w:p>
        </w:tc>
        <w:tc>
          <w:tcPr>
            <w:tcW w:w="1337" w:type="dxa"/>
          </w:tcPr>
          <w:p>
            <w:pPr/>
            <w:r>
              <w:t xml:space="preserve">Интимна свежест</w:t>
            </w:r>
          </w:p>
        </w:tc>
        <w:tc>
          <w:tcPr>
            <w:tcW w:w="1337" w:type="dxa"/>
          </w:tcPr>
          <w:p>
            <w:pPr/>
            <w:r>
              <w:t xml:space="preserve">35 (9)</w:t>
            </w:r>
          </w:p>
        </w:tc>
        <w:tc>
          <w:tcPr>
            <w:tcW w:w="1337" w:type="dxa"/>
          </w:tcPr>
          <w:p>
            <w:pPr/>
            <w:r>
              <w:t xml:space="preserve">2 955 145</w:t>
            </w:r>
          </w:p>
        </w:tc>
        <w:tc>
          <w:tcPr>
            <w:tcW w:w="1337" w:type="dxa"/>
          </w:tcPr>
          <w:p>
            <w:pPr/>
            <w:r>
              <w:t xml:space="preserve">90%</w:t>
            </w:r>
          </w:p>
        </w:tc>
        <w:tc>
          <w:tcPr>
            <w:tcW w:w="1337" w:type="dxa"/>
          </w:tcPr>
          <w:p>
            <w:pPr/>
            <w:r>
              <w:t xml:space="preserve">6%</w:t>
            </w:r>
          </w:p>
        </w:tc>
        <w:tc>
          <w:tcPr>
            <w:tcW w:w="1337" w:type="dxa"/>
          </w:tcPr>
          <w:p>
            <w:pPr/>
            <w:r>
              <w:t xml:space="preserve">Жени 18–65 (30)</w:t>
            </w:r>
          </w:p>
        </w:tc>
      </w:tr>
    </w:tbl>
    <w:p>
      <w:pPr/>
      <w:r>
        <w:t xml:space="preserve">Най-дълго въртените реклами на LUMI (</w:t>
      </w:r>
      <w:hyperlink r:id="rId34" w:history="1">
        <w:r>
          <w:rPr>
            <w:rStyle w:val="Hyperlink"/>
          </w:rPr>
          <w:t xml:space="preserve">170 дни</w:t>
        </w:r>
      </w:hyperlink>
      <w:r>
        <w:t xml:space="preserve">, </w:t>
      </w:r>
      <w:hyperlink r:id="rId35" w:history="1">
        <w:r>
          <w:rPr>
            <w:rStyle w:val="Hyperlink"/>
          </w:rPr>
          <w:t xml:space="preserve">155 дни</w:t>
        </w:r>
      </w:hyperlink>
      <w:r>
        <w:t xml:space="preserve">, </w:t>
      </w:r>
      <w:hyperlink r:id="rId36" w:history="1">
        <w:r>
          <w:rPr>
            <w:rStyle w:val="Hyperlink"/>
          </w:rPr>
          <w:t xml:space="preserve">125 дни</w:t>
        </w:r>
      </w:hyperlink>
      <w:r>
        <w:t xml:space="preserve">) са с текст „Единственият продукт…“ и 91–93% жени. Savenae няма реклами в Ad Library.</w:t>
      </w:r>
    </w:p>
    <w:p>
      <w:pPr/>
      <w:r>
        <w:rPr>
          <w:b/>
        </w:rPr>
        <w:t xml:space="preserve">Изводи за ICP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Ядрото е по-младо, отколкото показват данните от онлайн пазаруването:</w:t>
      </w:r>
      <w:r>
        <w:t xml:space="preserve"> жени 25–34 г. са 35,6% от обхвата, жени 18–24 г. 32,6%, жени 35–44 г. 16,3%, а жени 45+ около 7%. Затова ядрото в т. 2 и 4 е жени на 18–34 г.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Мъжете са малък сегмент:</w:t>
      </w:r>
      <w:r>
        <w:t xml:space="preserve"> 7,5% от обхвата дори при отворено таргетиране. Нито една българска марка за врастнали косми не таргетира мъже.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Говори за бръснене и врастнали косми, а не за „интимна хигиена“:</w:t>
      </w:r>
      <w:r>
        <w:t xml:space="preserve"> такова послание изтегля рекламата към 45+, както при NONA.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Ъгълът „докато стигнеш до лазера“ е за 25–44 г.:</w:t>
      </w:r>
      <w:r>
        <w:t xml:space="preserve"> лазерните реклами стигат до жени около 10 години по-възрастни от купувачите на рол-он.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Ограничения:</w:t>
      </w:r>
      <w:r>
        <w:t xml:space="preserve"> обхватът не е равен на покупки; събрани са първите ~30 реклами на страница; София срещу провинция не може да се измери, защото Meta дава обхват само по държава.</w:t>
      </w:r>
    </w:p>
    <w:p>
      <w:pPr>
        <w:pStyle w:val="Heading2"/>
      </w:pPr>
      <w:r>
        <w:t xml:space="preserve">8. Процедура: таргетиране в Meta</w:t>
      </w:r>
    </w:p>
    <w:p>
      <w:pPr/>
      <w:r>
        <w:t xml:space="preserve">Таргетирай широко (жени 18–44, цяла България, без интереси) и остави креатива да подбира сегмента. Аудиторията не е ограничение (виж т. 2). Ограниченията са доверието и сигналът от пиксела. Стъпките са в реда, в който се изпълняват.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Преди първия лев бюджет</w:t>
      </w:r>
    </w:p>
    <w:p>
      <w:pPr>
        <w:pStyle w:val="ListParagraph"/>
        <w:numPr>
          <w:ilvl w:val="1"/>
          <w:numId w:val="9"/>
        </w:numPr>
      </w:pPr>
      <w:r>
        <w:t xml:space="preserve">Инсталирай Meta пиксел + Conversions API на Shopify. Към 6 октомври в кода на savenae.com няма Meta пиксел. Събития: ViewContent, AddToCart, InitiateCheckout, Purchase.</w:t>
      </w:r>
    </w:p>
    <w:p>
      <w:pPr>
        <w:pStyle w:val="ListParagraph"/>
        <w:numPr>
          <w:ilvl w:val="1"/>
          <w:numId w:val="9"/>
        </w:numPr>
      </w:pPr>
      <w:r>
        <w:t xml:space="preserve">Качи данните за фирмата (име, ЕИК, адрес, телефон) по чл. 4 от ЗЕТ и пълния списък съставки (INCI).</w:t>
      </w:r>
    </w:p>
    <w:p>
      <w:pPr>
        <w:pStyle w:val="ListParagraph"/>
        <w:numPr>
          <w:ilvl w:val="1"/>
          <w:numId w:val="9"/>
        </w:numPr>
      </w:pPr>
      <w:r>
        <w:t xml:space="preserve">Въведи потвърждение на поръчките с наложен платеж (SMS или обаждане), за да намалиш отказаните пратки. Ако продуктът е предварителна поръчка, пиши ясно дата на изпращане.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Тестова кампания (Sales)</w:t>
      </w:r>
    </w:p>
    <w:p>
      <w:pPr>
        <w:pStyle w:val="ListParagraph"/>
        <w:numPr>
          <w:ilvl w:val="1"/>
          <w:numId w:val="10"/>
        </w:numPr>
      </w:pPr>
      <w:r>
        <w:t xml:space="preserve">Държава: България. Пол: жени. Възраст: 18–44 (или Advantage+ аудитория с минимум 18 и предложение 18–34). Очаквай около три четвърти от обхвата да е при 18–34 г., както при конкурентите. Без интереси в първия тест.</w:t>
      </w:r>
    </w:p>
    <w:p>
      <w:pPr>
        <w:pStyle w:val="ListParagraph"/>
        <w:numPr>
          <w:ilvl w:val="1"/>
          <w:numId w:val="10"/>
        </w:numPr>
      </w:pPr>
      <w:r>
        <w:t xml:space="preserve">Пласменти: Advantage+; креативите са вертикални 9:16 за Reels и Stories.</w:t>
      </w:r>
    </w:p>
    <w:p>
      <w:pPr>
        <w:pStyle w:val="ListParagraph"/>
        <w:numPr>
          <w:ilvl w:val="1"/>
          <w:numId w:val="10"/>
        </w:numPr>
      </w:pPr>
      <w:r>
        <w:t xml:space="preserve">Един ad set на ъгъл (виж т. 9), 3–5 креатива в всеки. Сегментите се разделят чрез креатива, не чрез таргетиране.</w:t>
      </w:r>
    </w:p>
    <w:p>
      <w:pPr>
        <w:pStyle w:val="ListParagraph"/>
        <w:numPr>
          <w:ilvl w:val="1"/>
          <w:numId w:val="10"/>
        </w:numPr>
      </w:pPr>
      <w:r>
        <w:t xml:space="preserve">Изключи купилите през последните 180 дни.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Подредба на ъглите за тест</w:t>
      </w:r>
    </w:p>
    <w:p>
      <w:pPr>
        <w:pStyle w:val="ListParagraph"/>
        <w:numPr>
          <w:ilvl w:val="1"/>
          <w:numId w:val="11"/>
        </w:numPr>
      </w:pPr>
      <w:r>
        <w:t xml:space="preserve">„Сутринта след бръсненето“ (ядро, бикини линия)</w:t>
      </w:r>
    </w:p>
    <w:p>
      <w:pPr>
        <w:pStyle w:val="ListParagraph"/>
        <w:numPr>
          <w:ilvl w:val="1"/>
          <w:numId w:val="11"/>
        </w:numPr>
      </w:pPr>
      <w:r>
        <w:t xml:space="preserve">„Там, където ръкавицата не става“ (форматът тампон)</w:t>
      </w:r>
    </w:p>
    <w:p>
      <w:pPr>
        <w:pStyle w:val="ListParagraph"/>
        <w:numPr>
          <w:ilvl w:val="1"/>
          <w:numId w:val="11"/>
        </w:numPr>
      </w:pPr>
      <w:r>
        <w:t xml:space="preserve">„Между две кола маски“ (клиентки на кола маска)</w:t>
      </w:r>
    </w:p>
    <w:p>
      <w:pPr>
        <w:pStyle w:val="ListParagraph"/>
        <w:numPr>
          <w:ilvl w:val="1"/>
          <w:numId w:val="11"/>
        </w:numPr>
      </w:pPr>
      <w:r>
        <w:t xml:space="preserve">„Докато стигнеш до лазера“ (цената срещу лазер)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Преценка след 7–14 дни</w:t>
      </w:r>
    </w:p>
    <w:p>
      <w:pPr>
        <w:pStyle w:val="ListParagraph"/>
        <w:numPr>
          <w:ilvl w:val="1"/>
          <w:numId w:val="12"/>
        </w:numPr>
      </w:pPr>
      <w:r>
        <w:t xml:space="preserve">Отвори разбивката по възраст, пол и регион в Ads Manager и я сравни с т. 4. Ако покупките са извън 18–34 или извън големите градове, актуализирай този SOP.</w:t>
      </w:r>
    </w:p>
    <w:p>
      <w:pPr>
        <w:pStyle w:val="ListParagraph"/>
        <w:numPr>
          <w:ilvl w:val="1"/>
          <w:numId w:val="12"/>
        </w:numPr>
      </w:pPr>
      <w:r>
        <w:t xml:space="preserve">Спирай ъгли, които не носят покупки; мащабирай печеливите с нови вариации на същия ъгъл.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Ретаргетинг</w:t>
      </w:r>
    </w:p>
    <w:p>
      <w:pPr>
        <w:pStyle w:val="ListParagraph"/>
        <w:numPr>
          <w:ilvl w:val="1"/>
          <w:numId w:val="13"/>
        </w:numPr>
      </w:pPr>
      <w:r>
        <w:t xml:space="preserve">Аудитория: посетители на сайта за 30 дни + гледали 50% от видеото.</w:t>
      </w:r>
    </w:p>
    <w:p>
      <w:pPr>
        <w:pStyle w:val="ListParagraph"/>
        <w:numPr>
          <w:ilvl w:val="1"/>
          <w:numId w:val="13"/>
        </w:numPr>
      </w:pPr>
      <w:r>
        <w:t xml:space="preserve">Послания: възраженията от т. 4 („щипе ли“, „€0,38 на тампон“, гаранция, наложен платеж) и първите истински ревюта.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Разширяване</w:t>
      </w:r>
    </w:p>
    <w:p>
      <w:pPr>
        <w:pStyle w:val="ListParagraph"/>
        <w:numPr>
          <w:ilvl w:val="1"/>
          <w:numId w:val="14"/>
        </w:numPr>
      </w:pPr>
      <w:r>
        <w:t xml:space="preserve">След 100+ покупки: lookalike 1–3% от купувачите.</w:t>
      </w:r>
    </w:p>
    <w:p>
      <w:pPr>
        <w:pStyle w:val="ListParagraph"/>
        <w:numPr>
          <w:ilvl w:val="1"/>
          <w:numId w:val="14"/>
        </w:numPr>
      </w:pPr>
      <w:r>
        <w:t xml:space="preserve">TikTok (Spark Ads с UGC, жени 18–34) за осведоменост.</w:t>
      </w:r>
    </w:p>
    <w:p>
      <w:pPr>
        <w:pStyle w:val="ListParagraph"/>
        <w:numPr>
          <w:ilvl w:val="1"/>
          <w:numId w:val="14"/>
        </w:numPr>
      </w:pPr>
      <w:r>
        <w:t xml:space="preserve">Креатив „и за него“ за двойки чак след като ядрото работи.</w:t>
      </w:r>
    </w:p>
    <w:p>
      <w:pPr>
        <w:pStyle w:val="ListParagraph"/>
        <w:numPr>
          <w:ilvl w:val="1"/>
          <w:numId w:val="14"/>
        </w:numPr>
      </w:pPr>
      <w:r>
        <w:t xml:space="preserve">Партньорства със студиа за кола маска (сегмент 2).</w:t>
      </w:r>
    </w:p>
    <w:p>
      <w:pPr>
        <w:pStyle w:val="Heading2"/>
      </w:pPr>
      <w:r>
        <w:t xml:space="preserve">9. Процедура: послания, оферта и креативи</w:t>
      </w:r>
    </w:p>
    <w:p>
      <w:pPr/>
      <w:r>
        <w:t xml:space="preserve">Главното обещание е: </w:t>
      </w:r>
      <w:r>
        <w:rPr>
          <w:b/>
        </w:rPr>
        <w:t xml:space="preserve">„Гладка бикини линия и след бръснене – един тампон, 30 секунди.“</w:t>
      </w:r>
      <w:r>
        <w:t xml:space="preserve"> То носи крайното състояние, а не срама, и не обещава лечение.</w:t>
      </w:r>
    </w:p>
    <w:p>
      <w:pPr/>
      <w:r>
        <w:rPr>
          <w:b/>
        </w:rPr>
        <w:t xml:space="preserve">Угли и куки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Ъгъл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Сегмент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Примерна кука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Формат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Сутринта след бръсненето</w:t>
            </w:r>
          </w:p>
        </w:tc>
        <w:tc>
          <w:tcPr>
            <w:tcW w:w="2340" w:type="dxa"/>
          </w:tcPr>
          <w:p>
            <w:pPr/>
            <w:r>
              <w:t xml:space="preserve">Ядро</w:t>
            </w:r>
          </w:p>
        </w:tc>
        <w:tc>
          <w:tcPr>
            <w:tcW w:w="2340" w:type="dxa"/>
          </w:tcPr>
          <w:p>
            <w:pPr/>
            <w:r>
              <w:t xml:space="preserve">„Обръсна ли бикини линията снощи? Ето откъде идват червените точици сутринта.“</w:t>
            </w:r>
          </w:p>
        </w:tc>
        <w:tc>
          <w:tcPr>
            <w:tcW w:w="2340" w:type="dxa"/>
          </w:tcPr>
          <w:p>
            <w:pPr/>
            <w:r>
              <w:t xml:space="preserve">UGC, говореща глава / POV в банята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Там, където ръкавицата не става</w:t>
            </w:r>
          </w:p>
        </w:tc>
        <w:tc>
          <w:tcPr>
            <w:tcW w:w="2340" w:type="dxa"/>
          </w:tcPr>
          <w:p>
            <w:pPr/>
            <w:r>
              <w:t xml:space="preserve">Ядро, крака</w:t>
            </w:r>
          </w:p>
        </w:tc>
        <w:tc>
          <w:tcPr>
            <w:tcW w:w="2340" w:type="dxa"/>
          </w:tcPr>
          <w:p>
            <w:pPr/>
            <w:r>
              <w:t xml:space="preserve">„Скрабът става за краката. За бикини линията – не.“</w:t>
            </w:r>
          </w:p>
        </w:tc>
        <w:tc>
          <w:tcPr>
            <w:tcW w:w="2340" w:type="dxa"/>
          </w:tcPr>
          <w:p>
            <w:pPr/>
            <w:r>
              <w:t xml:space="preserve">Демонстрация: ръкавица срещу тампон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Между две кола маски</w:t>
            </w:r>
          </w:p>
        </w:tc>
        <w:tc>
          <w:tcPr>
            <w:tcW w:w="2340" w:type="dxa"/>
          </w:tcPr>
          <w:p>
            <w:pPr/>
            <w:r>
              <w:t xml:space="preserve">Кола маска, 18–34</w:t>
            </w:r>
          </w:p>
        </w:tc>
        <w:tc>
          <w:tcPr>
            <w:tcW w:w="2340" w:type="dxa"/>
          </w:tcPr>
          <w:p>
            <w:pPr/>
            <w:r>
              <w:t xml:space="preserve">„Кола маската е половината. Другата половина е грижата в следващите 3 седмици.“</w:t>
            </w:r>
          </w:p>
        </w:tc>
        <w:tc>
          <w:tcPr>
            <w:tcW w:w="2340" w:type="dxa"/>
          </w:tcPr>
          <w:p>
            <w:pPr/>
            <w:r>
              <w:t xml:space="preserve">UGC с козметичка или клиентка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Докато стигнеш до лазера</w:t>
            </w:r>
          </w:p>
        </w:tc>
        <w:tc>
          <w:tcPr>
            <w:tcW w:w="2340" w:type="dxa"/>
          </w:tcPr>
          <w:p>
            <w:pPr/>
            <w:r>
              <w:t xml:space="preserve">Ядро, лазер</w:t>
            </w:r>
          </w:p>
        </w:tc>
        <w:tc>
          <w:tcPr>
            <w:tcW w:w="2340" w:type="dxa"/>
          </w:tcPr>
          <w:p>
            <w:pPr/>
            <w:r>
              <w:t xml:space="preserve">„Лазерът е 6 сесии. Дотогава – един тампон след всяко бръснене.“</w:t>
            </w:r>
          </w:p>
        </w:tc>
        <w:tc>
          <w:tcPr>
            <w:tcW w:w="2340" w:type="dxa"/>
          </w:tcPr>
          <w:p>
            <w:pPr/>
            <w:r>
              <w:t xml:space="preserve">Статична реклама със сравнение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Ако си вдигнала ръце</w:t>
            </w:r>
          </w:p>
        </w:tc>
        <w:tc>
          <w:tcPr>
            <w:tcW w:w="2340" w:type="dxa"/>
          </w:tcPr>
          <w:p>
            <w:pPr/>
            <w:r>
              <w:t xml:space="preserve">Пробвали всичко</w:t>
            </w:r>
          </w:p>
        </w:tc>
        <w:tc>
          <w:tcPr>
            <w:tcW w:w="2340" w:type="dxa"/>
          </w:tcPr>
          <w:p>
            <w:pPr/>
            <w:r>
              <w:t xml:space="preserve">„Кремове, скрабове, утайка от кафе… Проблемът може да не е в теб, а в начина.“</w:t>
            </w:r>
          </w:p>
        </w:tc>
        <w:tc>
          <w:tcPr>
            <w:tcW w:w="2340" w:type="dxa"/>
          </w:tcPr>
          <w:p>
            <w:pPr/>
            <w:r>
              <w:t xml:space="preserve">Адверториал с история от първо лице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Преди морето</w:t>
            </w:r>
          </w:p>
        </w:tc>
        <w:tc>
          <w:tcPr>
            <w:tcW w:w="2340" w:type="dxa"/>
          </w:tcPr>
          <w:p>
            <w:pPr/>
            <w:r>
              <w:t xml:space="preserve">Ядро, сезонно</w:t>
            </w:r>
          </w:p>
        </w:tc>
        <w:tc>
          <w:tcPr>
            <w:tcW w:w="2340" w:type="dxa"/>
          </w:tcPr>
          <w:p>
            <w:pPr/>
            <w:r>
              <w:t xml:space="preserve">„2 седмици преди морето: един тампон след всяко бръснене.“</w:t>
            </w:r>
          </w:p>
        </w:tc>
        <w:tc>
          <w:tcPr>
            <w:tcW w:w="2340" w:type="dxa"/>
          </w:tcPr>
          <w:p>
            <w:pPr/>
            <w:r>
              <w:t xml:space="preserve">Само май–август</w:t>
            </w:r>
          </w:p>
        </w:tc>
      </w:tr>
    </w:tbl>
    <w:p>
      <w:pPr/>
      <w:r>
        <w:rPr>
          <w:b/>
        </w:rPr>
        <w:t xml:space="preserve">Оферта</w:t>
      </w:r>
    </w:p>
    <w:p>
      <w:pPr>
        <w:pStyle w:val="ListParagraph"/>
        <w:numPr>
          <w:ilvl w:val="0"/>
          <w:numId w:val="15"/>
        </w:numPr>
      </w:pPr>
      <w:r>
        <w:t xml:space="preserve">Цена €18,90 за 50 тампона; пиши „€0,38 на тампон“, защото цената на брой е често възражение.</w:t>
      </w:r>
    </w:p>
    <w:p>
      <w:pPr>
        <w:pStyle w:val="ListParagraph"/>
        <w:numPr>
          <w:ilvl w:val="0"/>
          <w:numId w:val="15"/>
        </w:numPr>
      </w:pPr>
      <w:r>
        <w:t xml:space="preserve">Наложен платеж, безплатна доставка и 30-дневна гаранция са задължителни във всяка реклама.</w:t>
      </w:r>
    </w:p>
    <w:p>
      <w:pPr>
        <w:pStyle w:val="ListParagraph"/>
        <w:numPr>
          <w:ilvl w:val="0"/>
          <w:numId w:val="15"/>
        </w:numPr>
      </w:pPr>
      <w:r>
        <w:t xml:space="preserve">Комплект тампони + серум €35,90 за по-висока средна поръчка. Извод: тествай и 2 буркана тампони (100 бр.) за двойки и за големи зони.</w:t>
      </w:r>
    </w:p>
    <w:p>
      <w:pPr>
        <w:pStyle w:val="ListParagraph"/>
        <w:numPr>
          <w:ilvl w:val="0"/>
          <w:numId w:val="15"/>
        </w:numPr>
      </w:pPr>
      <w:r>
        <w:t xml:space="preserve">Няма фалшиви таймери и броячи „остават 11 бр.“. Това отличава Savenae от LUMI и Deroli и пести риск от нелоялни търговски практики.</w:t>
      </w:r>
    </w:p>
    <w:p>
      <w:pPr/>
      <w:r>
        <w:rPr>
          <w:b/>
        </w:rPr>
        <w:t xml:space="preserve">Доверие (задължително преди мащабиране)</w:t>
      </w:r>
    </w:p>
    <w:p>
      <w:pPr>
        <w:pStyle w:val="ListParagraph"/>
        <w:numPr>
          <w:ilvl w:val="0"/>
          <w:numId w:val="16"/>
        </w:numPr>
      </w:pPr>
      <w:r>
        <w:t xml:space="preserve">☐ Данни за фирмата: име, ЕИК, адрес, телефон на сайта</w:t>
      </w:r>
    </w:p>
    <w:p>
      <w:pPr>
        <w:pStyle w:val="ListParagraph"/>
        <w:numPr>
          <w:ilvl w:val="0"/>
          <w:numId w:val="16"/>
        </w:numPr>
      </w:pPr>
      <w:r>
        <w:t xml:space="preserve">☐ Пълен INCI и снимка на българския етикет</w:t>
      </w:r>
    </w:p>
    <w:p>
      <w:pPr>
        <w:pStyle w:val="ListParagraph"/>
        <w:numPr>
          <w:ilvl w:val="0"/>
          <w:numId w:val="16"/>
        </w:numPr>
      </w:pPr>
      <w:r>
        <w:t xml:space="preserve">☐ CPNP нотификация и отговорно лице в ЕС</w:t>
      </w:r>
    </w:p>
    <w:p>
      <w:pPr>
        <w:pStyle w:val="ListParagraph"/>
        <w:numPr>
          <w:ilvl w:val="0"/>
          <w:numId w:val="16"/>
        </w:numPr>
      </w:pPr>
      <w:r>
        <w:t xml:space="preserve">☐ Първи истински ревюта и UGC видеа (без измислени бройки)</w:t>
      </w:r>
    </w:p>
    <w:p>
      <w:pPr>
        <w:pStyle w:val="ListParagraph"/>
        <w:numPr>
          <w:ilvl w:val="0"/>
          <w:numId w:val="16"/>
        </w:numPr>
      </w:pPr>
      <w:r>
        <w:t xml:space="preserve">☐ Правило за употреба на страницата: не върху ранена кожа, 24–48 ч. след кола маска</w:t>
      </w:r>
    </w:p>
    <w:p>
      <w:pPr/>
      <w:r>
        <w:rPr>
          <w:b/>
        </w:rPr>
        <w:t xml:space="preserve">Правила за твърденията (ЕС и Meta)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Пиши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Не пиши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Защо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„Помага за по-гладка кожа след бръснене“, „ексфолира и изглажда“</w:t>
            </w:r>
          </w:p>
        </w:tc>
        <w:tc>
          <w:tcPr>
            <w:tcW w:w="3120" w:type="dxa"/>
          </w:tcPr>
          <w:p>
            <w:pPr/>
            <w:r>
              <w:t xml:space="preserve">„Лекува“, „фоликулит“, „премахва завинаги“</w:t>
            </w:r>
          </w:p>
        </w:tc>
        <w:tc>
          <w:tcPr>
            <w:tcW w:w="3120" w:type="dxa"/>
          </w:tcPr>
          <w:p>
            <w:pPr/>
            <w:r>
              <w:t xml:space="preserve">Медицинското твърдение прави продукта лекарство (</w:t>
            </w:r>
            <w:hyperlink r:id="rId37" w:history="1">
              <w:r>
                <w:rPr>
                  <w:rStyle w:val="Hyperlink"/>
                </w:rPr>
                <w:t xml:space="preserve">ЕК</w:t>
              </w:r>
            </w:hyperlink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„Помага косъмчетата да излизат свободно“</w:t>
            </w:r>
          </w:p>
        </w:tc>
        <w:tc>
          <w:tcPr>
            <w:tcW w:w="3120" w:type="dxa"/>
          </w:tcPr>
          <w:p>
            <w:pPr/>
            <w:r>
              <w:t xml:space="preserve">„Единственият продукт“, „100%“, „98% от жените“, „за 7 дни“ без тест</w:t>
            </w:r>
          </w:p>
        </w:tc>
        <w:tc>
          <w:tcPr>
            <w:tcW w:w="3120" w:type="dxa"/>
          </w:tcPr>
          <w:p>
            <w:pPr/>
            <w:r>
              <w:t xml:space="preserve">Твърденията трябва да са доказани (</w:t>
            </w:r>
            <w:hyperlink r:id="rId38" w:history="1">
              <w:r>
                <w:rPr>
                  <w:rStyle w:val="Hyperlink"/>
                </w:rPr>
                <w:t xml:space="preserve">Регламент 655/2013</w:t>
              </w:r>
            </w:hyperlink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Крайно състояние: „гладка, спокойна кожа“, „ритуал от 30 секунди“</w:t>
            </w:r>
          </w:p>
        </w:tc>
        <w:tc>
          <w:tcPr>
            <w:tcW w:w="3120" w:type="dxa"/>
          </w:tcPr>
          <w:p>
            <w:pPr/>
            <w:r>
              <w:t xml:space="preserve">„Уморена ли си да криеш кожата си?“, „не се срамувай повече“</w:t>
            </w:r>
          </w:p>
        </w:tc>
        <w:tc>
          <w:tcPr>
            <w:tcW w:w="3120" w:type="dxa"/>
          </w:tcPr>
          <w:p>
            <w:pPr/>
            <w:r>
              <w:t xml:space="preserve">Meta забранява негативно самовъзприятие (</w:t>
            </w:r>
            <w:hyperlink r:id="rId39" w:history="1">
              <w:r>
                <w:rPr>
                  <w:rStyle w:val="Hyperlink"/>
                </w:rPr>
                <w:t xml:space="preserve">Meta</w:t>
              </w:r>
            </w:hyperlink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Продукт, ръка с тампон, крака и бедра в неутрална поза</w:t>
            </w:r>
          </w:p>
        </w:tc>
        <w:tc>
          <w:tcPr>
            <w:tcW w:w="3120" w:type="dxa"/>
          </w:tcPr>
          <w:p>
            <w:pPr/>
            <w:r>
              <w:t xml:space="preserve">Снимки „преди/след“, едри планове на пъпки в интимната зона</w:t>
            </w:r>
          </w:p>
        </w:tc>
        <w:tc>
          <w:tcPr>
            <w:tcW w:w="3120" w:type="dxa"/>
          </w:tcPr>
          <w:p>
            <w:pPr/>
            <w:r>
              <w:t xml:space="preserve">Същата политика на Meta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„За външната кожа на бикини линията“ (както е в текста на сайта)</w:t>
            </w:r>
          </w:p>
        </w:tc>
        <w:tc>
          <w:tcPr>
            <w:tcW w:w="3120" w:type="dxa"/>
          </w:tcPr>
          <w:p>
            <w:pPr/>
            <w:r>
              <w:t xml:space="preserve">„Интимна зона“, ако не е покрито от оценката за безопасност</w:t>
            </w:r>
          </w:p>
        </w:tc>
        <w:tc>
          <w:tcPr>
            <w:tcW w:w="3120" w:type="dxa"/>
          </w:tcPr>
          <w:p>
            <w:pPr/>
            <w:r>
              <w:t xml:space="preserve">Рекламата трябва да съвпада с етикета</w:t>
            </w:r>
          </w:p>
        </w:tc>
      </w:tr>
    </w:tbl>
    <w:p>
      <w:pPr/>
      <w:r>
        <w:t xml:space="preserve">Ако формулата съдържа салицилова киселина, тя е ограничена до 2% (0,5% в лосион за тяло), а етикетът трябва да казва, че продуктът не е за деца под 3 г. (</w:t>
      </w:r>
      <w:hyperlink r:id="rId40" w:history="1">
        <w:r>
          <w:rPr>
            <w:rStyle w:val="Hyperlink"/>
          </w:rPr>
          <w:t xml:space="preserve">Регламент 2019/1966</w:t>
        </w:r>
      </w:hyperlink>
      <w:r>
        <w:t xml:space="preserve">). Етикетът трябва да е на български (</w:t>
      </w:r>
      <w:hyperlink r:id="rId41" w:history="1">
        <w:r>
          <w:rPr>
            <w:rStyle w:val="Hyperlink"/>
          </w:rPr>
          <w:t xml:space="preserve">МЗ</w:t>
        </w:r>
      </w:hyperlink>
      <w:r>
        <w:t xml:space="preserve">); на снимките в магазина опаковката е само на английски.</w:t>
      </w:r>
    </w:p>
    <w:p>
      <w:pPr>
        <w:pStyle w:val="Heading2"/>
      </w:pPr>
      <w:r>
        <w:t xml:space="preserve">10. Сезонност и календар</w:t>
      </w:r>
    </w:p>
    <w:p>
      <w:pPr/>
      <w:r>
        <w:drawing>
          <wp:inline distT="0" distB="0" distL="0" distR="0">
            <wp:extent cx="5486400" cy="2049235"/>
            <wp:docPr id="2" name="image2" descr="календар на кампаниите · 4 фази, окт. 2026 – септ. 20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календар на кампаниите · 4 фази, окт. 2026 – септ. 2027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календар на кампаниите · 4 фази, окт. 2026 – септ. 2027</w:t>
      </w:r>
    </w:p>
    <w:p>
      <w:pPr/>
      <w:r>
        <w:t xml:space="preserve">Тестовете през есента и зимата дават креативи и ревюта, които се мащабират преди морския сезон. Настаняванията на българи през 2025 г. са 503 хил. през юни, 668 хил. през юли и 735 хил. през август (</w:t>
      </w:r>
      <w:hyperlink r:id="rId43" w:history="1">
        <w:r>
          <w:rPr>
            <w:rStyle w:val="Hyperlink"/>
          </w:rPr>
          <w:t xml:space="preserve">Министерство на туризма</w:t>
        </w:r>
      </w:hyperlink>
      <w:r>
        <w:t xml:space="preserve">). Лазерните клиники започват курсове наесен (</w:t>
      </w:r>
      <w:hyperlink r:id="rId44" w:history="1">
        <w:r>
          <w:rPr>
            <w:rStyle w:val="Hyperlink"/>
          </w:rPr>
          <w:t xml:space="preserve">Studio24</w:t>
        </w:r>
      </w:hyperlink>
      <w:r>
        <w:t xml:space="preserve">), затова ъгълът „докато стигнеш до лазера“ работи септември–ноември. Сезонността на търсенията за „враснали косми“ не е измерена (виж т. 11).</w:t>
      </w:r>
    </w:p>
    <w:p>
      <w:pPr>
        <w:pStyle w:val="Heading2"/>
      </w:pPr>
      <w:r>
        <w:t xml:space="preserve">11. Ограничения на данните и следващи стъпки</w:t>
      </w:r>
    </w:p>
    <w:p>
      <w:pPr/>
      <w:r>
        <w:t xml:space="preserve">ICP-то е работна хипотеза: изградено е от прокси данни и българска статистика, а не от реални купувачи на Savenae.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Няма българско проучване</w:t>
      </w:r>
      <w:r>
        <w:t xml:space="preserve"> за обезкосмяване и врастнали косми; дяловете са от САЩ, Белгия, Германия и Австрия.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Ревютата са прокси от САЩ/Великобритания</w:t>
      </w:r>
      <w:r>
        <w:t xml:space="preserve">; 2 014 от 3 000 ревюта на Bushbalm са стимулирани (с награда).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Българските цитати са стари</w:t>
      </w:r>
      <w:r>
        <w:t xml:space="preserve"> (bg-mamma, 2010–2019); нови независими ревюта не бяха намерени (Notino и SOpharmacy върнаха 403, eMAG – captcha).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Няма данни за обем на търсене:</w:t>
      </w:r>
      <w:r>
        <w:t xml:space="preserve"> Google Trends върна грешка 429.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Savenae няма купувачи, ревюта или реклами</w:t>
      </w:r>
      <w:r>
        <w:t xml:space="preserve"> към 6 октомври; фирмата зад магазина и съставките са неизвестни.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Meta и TikTok не бяха проверени чрез акаунт:</w:t>
      </w:r>
      <w:r>
        <w:t xml:space="preserve"> размерите на аудиториите са от NapoleonCat и DataReportal, не от Ads Manager. Обхватът на конкурентите в т. 7 не е равен на покупки и обхваща първите ~30 реклами на страница.</w:t>
      </w:r>
    </w:p>
    <w:p>
      <w:pPr/>
      <w:r>
        <w:rPr>
          <w:b/>
        </w:rPr>
        <w:t xml:space="preserve">Следващи стъпки за потвърждаване на ICP</w:t>
      </w:r>
    </w:p>
    <w:p>
      <w:pPr>
        <w:pStyle w:val="ListParagraph"/>
        <w:numPr>
          <w:ilvl w:val="0"/>
          <w:numId w:val="18"/>
        </w:numPr>
      </w:pPr>
      <w:r>
        <w:t xml:space="preserve">☐ Свържи Meta Ads конектора в claude.ai и изтегли размера на аудиторията жени 18–44 в България</w:t>
      </w:r>
    </w:p>
    <w:p>
      <w:pPr>
        <w:pStyle w:val="ListParagraph"/>
        <w:numPr>
          <w:ilvl w:val="0"/>
          <w:numId w:val="18"/>
        </w:numPr>
      </w:pPr>
      <w:r>
        <w:t xml:space="preserve">☐ След първите 50 поръчки: разбивка по възраст, град и креатив → актуализирай т. 4 и 5</w:t>
      </w:r>
    </w:p>
    <w:p>
      <w:pPr>
        <w:pStyle w:val="ListParagraph"/>
        <w:numPr>
          <w:ilvl w:val="0"/>
          <w:numId w:val="18"/>
        </w:numPr>
      </w:pPr>
      <w:r>
        <w:t xml:space="preserve">☐ Задай 2 въпроса след покупката: „За коя зона го взе?“ и „Бръснене, кола маска или лазер?“</w:t>
      </w:r>
    </w:p>
    <w:p>
      <w:pPr>
        <w:pStyle w:val="ListParagraph"/>
        <w:numPr>
          <w:ilvl w:val="0"/>
          <w:numId w:val="18"/>
        </w:numPr>
      </w:pPr>
      <w:r>
        <w:t xml:space="preserve">☐ Проследи отказаните пратки с наложен платеж по регион</w:t>
      </w:r>
    </w:p>
    <w:p>
      <w:pPr>
        <w:pStyle w:val="ListParagraph"/>
        <w:numPr>
          <w:ilvl w:val="0"/>
          <w:numId w:val="18"/>
        </w:numPr>
      </w:pPr>
      <w:r>
        <w:t xml:space="preserve">☐ Провери Google Trends за „враснали косми“ и „подкожни косми“ ръчно за сезонността</w:t>
      </w:r>
    </w:p>
    <w:p>
      <w:pPr>
        <w:pStyle w:val="Heading2"/>
      </w:pPr>
      <w:r>
        <w:t xml:space="preserve">12. Източници</w:t>
      </w:r>
    </w:p>
    <w:p>
      <w:pPr/>
      <w:r>
        <w:rPr>
          <w:b/>
        </w:rPr>
        <w:t xml:space="preserve">Savenae и конкуренти</w:t>
      </w:r>
    </w:p>
    <w:p>
      <w:pPr>
        <w:pStyle w:val="ListParagraph"/>
        <w:numPr>
          <w:ilvl w:val="0"/>
          <w:numId w:val="19"/>
        </w:numPr>
      </w:pPr>
      <w:hyperlink r:id="rId11" w:history="1">
        <w:r>
          <w:rPr>
            <w:rStyle w:val="Hyperlink"/>
          </w:rPr>
          <w:t xml:space="preserve">Savenae – продуктова страница</w:t>
        </w:r>
      </w:hyperlink>
      <w:r>
        <w:t xml:space="preserve"> · </w:t>
      </w:r>
      <w:hyperlink r:id="rId12" w:history="1">
        <w:r>
          <w:rPr>
            <w:rStyle w:val="Hyperlink"/>
          </w:rPr>
          <w:t xml:space="preserve">адверториал</w:t>
        </w:r>
      </w:hyperlink>
      <w:r>
        <w:t xml:space="preserve"> · </w:t>
      </w:r>
      <w:hyperlink r:id="rId45" w:history="1">
        <w:r>
          <w:rPr>
            <w:rStyle w:val="Hyperlink"/>
          </w:rPr>
          <w:t xml:space="preserve">products.json</w:t>
        </w:r>
      </w:hyperlink>
      <w:r>
        <w:t xml:space="preserve"> · </w:t>
      </w:r>
      <w:hyperlink r:id="rId46" w:history="1">
        <w:r>
          <w:rPr>
            <w:rStyle w:val="Hyperlink"/>
          </w:rPr>
          <w:t xml:space="preserve">условия за доставка</w:t>
        </w:r>
      </w:hyperlink>
      <w:r>
        <w:t xml:space="preserve"> · </w:t>
      </w:r>
      <w:hyperlink r:id="rId47" w:history="1">
        <w:r>
          <w:rPr>
            <w:rStyle w:val="Hyperlink"/>
          </w:rPr>
          <w:t xml:space="preserve">RDAP домейн</w:t>
        </w:r>
      </w:hyperlink>
    </w:p>
    <w:p>
      <w:pPr>
        <w:pStyle w:val="ListParagraph"/>
        <w:numPr>
          <w:ilvl w:val="0"/>
          <w:numId w:val="19"/>
        </w:numPr>
      </w:pPr>
      <w:hyperlink r:id="rId48" w:history="1">
        <w:r>
          <w:rPr>
            <w:rStyle w:val="Hyperlink"/>
          </w:rPr>
          <w:t xml:space="preserve">LUMI</w:t>
        </w:r>
      </w:hyperlink>
      <w:r>
        <w:t xml:space="preserve"> · </w:t>
      </w:r>
      <w:hyperlink r:id="rId49" w:history="1">
        <w:r>
          <w:rPr>
            <w:rStyle w:val="Hyperlink"/>
          </w:rPr>
          <w:t xml:space="preserve">Deroli</w:t>
        </w:r>
      </w:hyperlink>
      <w:r>
        <w:t xml:space="preserve"> · </w:t>
      </w:r>
      <w:hyperlink r:id="rId50" w:history="1">
        <w:r>
          <w:rPr>
            <w:rStyle w:val="Hyperlink"/>
          </w:rPr>
          <w:t xml:space="preserve">Meta Ad Library: „враснали косми“, България</w:t>
        </w:r>
      </w:hyperlink>
    </w:p>
    <w:p>
      <w:pPr/>
      <w:r>
        <w:rPr>
          <w:b/>
        </w:rPr>
        <w:t xml:space="preserve">Българска статистика</w:t>
      </w:r>
    </w:p>
    <w:p>
      <w:pPr>
        <w:pStyle w:val="ListParagraph"/>
        <w:numPr>
          <w:ilvl w:val="0"/>
          <w:numId w:val="20"/>
        </w:numPr>
      </w:pPr>
      <w:hyperlink r:id="rId3" w:history="1">
        <w:r>
          <w:rPr>
            <w:rStyle w:val="Hyperlink"/>
          </w:rPr>
          <w:t xml:space="preserve">Eurostat isoc_ec_ibgs – онлайн покупки по категории</w:t>
        </w:r>
      </w:hyperlink>
      <w:r>
        <w:t xml:space="preserve"> · </w:t>
      </w:r>
      <w:hyperlink r:id="rId51" w:history="1">
        <w:r>
          <w:rPr>
            <w:rStyle w:val="Hyperlink"/>
          </w:rPr>
          <w:t xml:space="preserve">Eurostat isoc_ec_ib20</w:t>
        </w:r>
      </w:hyperlink>
      <w:r>
        <w:t xml:space="preserve"> · </w:t>
      </w:r>
      <w:hyperlink r:id="rId15" w:history="1">
        <w:r>
          <w:rPr>
            <w:rStyle w:val="Hyperlink"/>
          </w:rPr>
          <w:t xml:space="preserve">Eurostat isoc_r_blt12_i – региони</w:t>
        </w:r>
      </w:hyperlink>
    </w:p>
    <w:p>
      <w:pPr>
        <w:pStyle w:val="ListParagraph"/>
        <w:numPr>
          <w:ilvl w:val="0"/>
          <w:numId w:val="20"/>
        </w:numPr>
      </w:pPr>
      <w:hyperlink r:id="rId16" w:history="1">
        <w:r>
          <w:rPr>
            <w:rStyle w:val="Hyperlink"/>
          </w:rPr>
          <w:t xml:space="preserve">НСИ – заплати Q2 2026</w:t>
        </w:r>
      </w:hyperlink>
      <w:r>
        <w:t xml:space="preserve"> · </w:t>
      </w:r>
      <w:hyperlink r:id="rId4" w:history="1">
        <w:r>
          <w:rPr>
            <w:rStyle w:val="Hyperlink"/>
          </w:rPr>
          <w:t xml:space="preserve">БТПП / БАЕТ – наложен платеж</w:t>
        </w:r>
      </w:hyperlink>
      <w:r>
        <w:t xml:space="preserve"> · </w:t>
      </w:r>
      <w:hyperlink r:id="rId5" w:history="1">
        <w:r>
          <w:rPr>
            <w:rStyle w:val="Hyperlink"/>
          </w:rPr>
          <w:t xml:space="preserve">DIGIPAY – 92,9% от магазините</w:t>
        </w:r>
      </w:hyperlink>
    </w:p>
    <w:p>
      <w:pPr>
        <w:pStyle w:val="ListParagraph"/>
        <w:numPr>
          <w:ilvl w:val="0"/>
          <w:numId w:val="20"/>
        </w:numPr>
      </w:pPr>
      <w:hyperlink r:id="rId20" w:history="1">
        <w:r>
          <w:rPr>
            <w:rStyle w:val="Hyperlink"/>
          </w:rPr>
          <w:t xml:space="preserve">DataReportal Digital 2026 Bulgaria</w:t>
        </w:r>
      </w:hyperlink>
      <w:r>
        <w:t xml:space="preserve"> · </w:t>
      </w:r>
      <w:hyperlink r:id="rId9" w:history="1">
        <w:r>
          <w:rPr>
            <w:rStyle w:val="Hyperlink"/>
          </w:rPr>
          <w:t xml:space="preserve">NapoleonCat Facebook BG</w:t>
        </w:r>
      </w:hyperlink>
      <w:r>
        <w:t xml:space="preserve"> · </w:t>
      </w:r>
      <w:hyperlink r:id="rId10" w:history="1">
        <w:r>
          <w:rPr>
            <w:rStyle w:val="Hyperlink"/>
          </w:rPr>
          <w:t xml:space="preserve">NapoleonCat Instagram BG</w:t>
        </w:r>
      </w:hyperlink>
    </w:p>
    <w:p>
      <w:pPr>
        <w:pStyle w:val="ListParagraph"/>
        <w:numPr>
          <w:ilvl w:val="0"/>
          <w:numId w:val="20"/>
        </w:numPr>
      </w:pPr>
      <w:hyperlink r:id="rId43" w:history="1">
        <w:r>
          <w:rPr>
            <w:rStyle w:val="Hyperlink"/>
          </w:rPr>
          <w:t xml:space="preserve">Министерство на туризма – статистика 2025</w:t>
        </w:r>
      </w:hyperlink>
      <w:r>
        <w:t xml:space="preserve"> · </w:t>
      </w:r>
      <w:hyperlink r:id="rId22" w:history="1">
        <w:r>
          <w:rPr>
            <w:rStyle w:val="Hyperlink"/>
          </w:rPr>
          <w:t xml:space="preserve">Studio24 – цени интимен лазер</w:t>
        </w:r>
      </w:hyperlink>
    </w:p>
    <w:p>
      <w:pPr/>
      <w:r>
        <w:rPr>
          <w:b/>
        </w:rPr>
        <w:t xml:space="preserve">Прокси изследвания и ревюта</w:t>
      </w:r>
    </w:p>
    <w:p>
      <w:pPr>
        <w:pStyle w:val="ListParagraph"/>
        <w:numPr>
          <w:ilvl w:val="0"/>
          <w:numId w:val="21"/>
        </w:numPr>
      </w:pPr>
      <w:hyperlink r:id="rId17" w:history="1">
        <w:r>
          <w:rPr>
            <w:rStyle w:val="Hyperlink"/>
          </w:rPr>
          <w:t xml:space="preserve">JAMA Dermatology 2017</w:t>
        </w:r>
      </w:hyperlink>
      <w:r>
        <w:t xml:space="preserve"> · </w:t>
      </w:r>
      <w:hyperlink r:id="rId8" w:history="1">
        <w:r>
          <w:rPr>
            <w:rStyle w:val="Hyperlink"/>
          </w:rPr>
          <w:t xml:space="preserve">AJOG 2014</w:t>
        </w:r>
      </w:hyperlink>
      <w:r>
        <w:t xml:space="preserve"> · </w:t>
      </w:r>
      <w:hyperlink r:id="rId6" w:history="1">
        <w:r>
          <w:rPr>
            <w:rStyle w:val="Hyperlink"/>
          </w:rPr>
          <w:t xml:space="preserve">J Sex Med 2019 (Белгия)</w:t>
        </w:r>
      </w:hyperlink>
      <w:r>
        <w:t xml:space="preserve"> · </w:t>
      </w:r>
      <w:hyperlink r:id="rId52" w:history="1">
        <w:r>
          <w:rPr>
            <w:rStyle w:val="Hyperlink"/>
          </w:rPr>
          <w:t xml:space="preserve">J Cosmet Dermatol 2020 (Германия)</w:t>
        </w:r>
      </w:hyperlink>
      <w:r>
        <w:t xml:space="preserve"> · </w:t>
      </w:r>
      <w:hyperlink r:id="rId53" w:history="1">
        <w:r>
          <w:rPr>
            <w:rStyle w:val="Hyperlink"/>
          </w:rPr>
          <w:t xml:space="preserve">DermNet</w:t>
        </w:r>
      </w:hyperlink>
    </w:p>
    <w:p>
      <w:pPr>
        <w:pStyle w:val="ListParagraph"/>
        <w:numPr>
          <w:ilvl w:val="0"/>
          <w:numId w:val="21"/>
        </w:numPr>
      </w:pPr>
      <w:hyperlink r:id="rId18" w:history="1">
        <w:r>
          <w:rPr>
            <w:rStyle w:val="Hyperlink"/>
          </w:rPr>
          <w:t xml:space="preserve">First Aid Beauty – Sephora</w:t>
        </w:r>
      </w:hyperlink>
      <w:r>
        <w:t xml:space="preserve"> · </w:t>
      </w:r>
      <w:hyperlink r:id="rId54" w:history="1">
        <w:r>
          <w:rPr>
            <w:rStyle w:val="Hyperlink"/>
          </w:rPr>
          <w:t xml:space="preserve">First Aid Beauty – Ulta</w:t>
        </w:r>
      </w:hyperlink>
      <w:r>
        <w:t xml:space="preserve"> · </w:t>
      </w:r>
      <w:hyperlink r:id="rId14" w:history="1">
        <w:r>
          <w:rPr>
            <w:rStyle w:val="Hyperlink"/>
          </w:rPr>
          <w:t xml:space="preserve">Bushbalm Radiant Reset</w:t>
        </w:r>
      </w:hyperlink>
      <w:r>
        <w:t xml:space="preserve"> · </w:t>
      </w:r>
      <w:hyperlink r:id="rId55" w:history="1">
        <w:r>
          <w:rPr>
            <w:rStyle w:val="Hyperlink"/>
          </w:rPr>
          <w:t xml:space="preserve">Skin Doctors Ingrow Go – Amazon UK</w:t>
        </w:r>
      </w:hyperlink>
    </w:p>
    <w:p>
      <w:pPr>
        <w:pStyle w:val="ListParagraph"/>
        <w:numPr>
          <w:ilvl w:val="0"/>
          <w:numId w:val="21"/>
        </w:numPr>
      </w:pPr>
      <w:r>
        <w:t xml:space="preserve">Форум bg-mamma: </w:t>
      </w:r>
      <w:hyperlink r:id="rId19" w:history="1">
        <w:r>
          <w:rPr>
            <w:rStyle w:val="Hyperlink"/>
          </w:rPr>
          <w:t xml:space="preserve">673349.45</w:t>
        </w:r>
      </w:hyperlink>
      <w:r>
        <w:t xml:space="preserve"> · </w:t>
      </w:r>
      <w:hyperlink r:id="rId24" w:history="1">
        <w:r>
          <w:rPr>
            <w:rStyle w:val="Hyperlink"/>
          </w:rPr>
          <w:t xml:space="preserve">673349.120</w:t>
        </w:r>
      </w:hyperlink>
      <w:r>
        <w:t xml:space="preserve"> · </w:t>
      </w:r>
      <w:hyperlink r:id="rId25" w:history="1">
        <w:r>
          <w:rPr>
            <w:rStyle w:val="Hyperlink"/>
          </w:rPr>
          <w:t xml:space="preserve">673349.270</w:t>
        </w:r>
      </w:hyperlink>
      <w:r>
        <w:t xml:space="preserve"> · </w:t>
      </w:r>
      <w:hyperlink r:id="rId26" w:history="1">
        <w:r>
          <w:rPr>
            <w:rStyle w:val="Hyperlink"/>
          </w:rPr>
          <w:t xml:space="preserve">522144</w:t>
        </w:r>
      </w:hyperlink>
      <w:r>
        <w:t xml:space="preserve"> · </w:t>
      </w:r>
      <w:hyperlink r:id="rId23" w:history="1">
        <w:r>
          <w:rPr>
            <w:rStyle w:val="Hyperlink"/>
          </w:rPr>
          <w:t xml:space="preserve">1750810</w:t>
        </w:r>
      </w:hyperlink>
    </w:p>
    <w:p>
      <w:pPr/>
      <w:r>
        <w:rPr>
          <w:b/>
        </w:rPr>
        <w:t xml:space="preserve">Правила</w:t>
      </w:r>
    </w:p>
    <w:p>
      <w:pPr>
        <w:pStyle w:val="ListParagraph"/>
        <w:numPr>
          <w:ilvl w:val="0"/>
          <w:numId w:val="22"/>
        </w:numPr>
      </w:pPr>
      <w:hyperlink r:id="rId38" w:history="1">
        <w:r>
          <w:rPr>
            <w:rStyle w:val="Hyperlink"/>
          </w:rPr>
          <w:t xml:space="preserve">Регламент (ЕС) 655/2013</w:t>
        </w:r>
      </w:hyperlink>
      <w:r>
        <w:t xml:space="preserve"> · </w:t>
      </w:r>
      <w:hyperlink r:id="rId40" w:history="1">
        <w:r>
          <w:rPr>
            <w:rStyle w:val="Hyperlink"/>
          </w:rPr>
          <w:t xml:space="preserve">Регламент (ЕС) 2019/1966</w:t>
        </w:r>
      </w:hyperlink>
      <w:r>
        <w:t xml:space="preserve"> · </w:t>
      </w:r>
      <w:hyperlink r:id="rId39" w:history="1">
        <w:r>
          <w:rPr>
            <w:rStyle w:val="Hyperlink"/>
          </w:rPr>
          <w:t xml:space="preserve">Meta – Health and Wellness</w:t>
        </w:r>
      </w:hyperlink>
      <w:r>
        <w:t xml:space="preserve"> · </w:t>
      </w:r>
      <w:hyperlink r:id="rId13" w:history="1">
        <w:r>
          <w:rPr>
            <w:rStyle w:val="Hyperlink"/>
          </w:rPr>
          <w:t xml:space="preserve">Закон за електронната търговия</w:t>
        </w:r>
      </w:hyperlink>
      <w:r>
        <w:t xml:space="preserve"> · </w:t>
      </w:r>
      <w:hyperlink r:id="rId41" w:history="1">
        <w:r>
          <w:rPr>
            <w:rStyle w:val="Hyperlink"/>
          </w:rPr>
          <w:t xml:space="preserve">МЗ – козметични продукти</w:t>
        </w:r>
      </w:hyperlink>
    </w:p>
    <w:p>
      <w:pPr/>
      <w:r>
        <w:t xml:space="preserve">Пълните бележки с всички линкове са в репото </w:t>
      </w:r>
      <w:r>
        <w:rPr>
          <w:rStyle w:val="CodeChar"/>
        </w:rPr>
        <w:t xml:space="preserve">fitpatches-ads</w:t>
      </w:r>
      <w:r>
        <w:t xml:space="preserve">, клон </w:t>
      </w:r>
      <w:r>
        <w:rPr>
          <w:rStyle w:val="CodeChar"/>
        </w:rPr>
        <w:t xml:space="preserve">claude/youthful-cori-qq6uc4</w:t>
      </w:r>
      <w:r>
        <w:t xml:space="preserve">, папка </w:t>
      </w:r>
      <w:r>
        <w:rPr>
          <w:rStyle w:val="CodeChar"/>
        </w:rPr>
        <w:t xml:space="preserve">research_notes/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1"/>
    <w:lvlOverride w:ilvl="1">
      <w:startOverride w:val="1"/>
    </w:lvlOverride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ec.europa.eu/eurostat/databrowser/view/isoc_ec_ibgs/default/table?lang=en" TargetMode="External"/><Relationship Id="rId4" Type="http://schemas.openxmlformats.org/officeDocument/2006/relationships/hyperlink" Target="https://www.bia-bg.com/news/view/35112/" TargetMode="External"/><Relationship Id="rId5" Type="http://schemas.openxmlformats.org/officeDocument/2006/relationships/hyperlink" Target="https://digipay.bg/bg/blog/e-commerce-92-9-of-online-stores-in-bulgaria-offer-cash-on-delivery" TargetMode="External"/><Relationship Id="rId6" Type="http://schemas.openxmlformats.org/officeDocument/2006/relationships/hyperlink" Target="https://pubmed.ncbi.nlm.nih.gov/31103484/" TargetMode="External"/><Relationship Id="rId7" Type="http://schemas.openxmlformats.org/officeDocument/2006/relationships/hyperlink" Target="https://www.galaxus.at/en/page/galaxus-survey-which-european-country-is-most-bothered-by-body-hair-33134" TargetMode="External"/><Relationship Id="rId8" Type="http://schemas.openxmlformats.org/officeDocument/2006/relationships/hyperlink" Target="https://pmc.ncbi.nlm.nih.gov/articles/PMC4040320/" TargetMode="External"/><Relationship Id="rId9" Type="http://schemas.openxmlformats.org/officeDocument/2006/relationships/hyperlink" Target="https://napoleoncat.com/stats/facebook-users-in-bulgaria/" TargetMode="External"/><Relationship Id="rId10" Type="http://schemas.openxmlformats.org/officeDocument/2006/relationships/hyperlink" Target="https://stats.napoleoncat.com/instagram-users-in-bulgaria/" TargetMode="External"/><Relationship Id="rId11" Type="http://schemas.openxmlformats.org/officeDocument/2006/relationships/hyperlink" Target="https://savenae.com/products/savenae-smooth-reset-pads" TargetMode="External"/><Relationship Id="rId12" Type="http://schemas.openxmlformats.org/officeDocument/2006/relationships/hyperlink" Target="https://savenae.com/pages/cherveni-tochki-sled-brasnene" TargetMode="External"/><Relationship Id="rId13" Type="http://schemas.openxmlformats.org/officeDocument/2006/relationships/hyperlink" Target="https://www.mi.government.bg/file/2015/09/zet_bg.pdf" TargetMode="External"/><Relationship Id="rId14" Type="http://schemas.openxmlformats.org/officeDocument/2006/relationships/hyperlink" Target="https://bushbalm.com/products/radiant-reset-exfoliating-toner-pads" TargetMode="External"/><Relationship Id="rId15" Type="http://schemas.openxmlformats.org/officeDocument/2006/relationships/hyperlink" Target="https://ec.europa.eu/eurostat/databrowser/view/isoc_r_blt12_i/default/table?lang=en" TargetMode="External"/><Relationship Id="rId16" Type="http://schemas.openxmlformats.org/officeDocument/2006/relationships/hyperlink" Target="https://www.nsi.bg/press-release/naeti-lica-i-sredna-rabotna-zaplata-ii-trimesechie-2026-godina-9113" TargetMode="External"/><Relationship Id="rId17" Type="http://schemas.openxmlformats.org/officeDocument/2006/relationships/hyperlink" Target="https://pmc.ncbi.nlm.nih.gov/articles/PMC5710443/" TargetMode="External"/><Relationship Id="rId18" Type="http://schemas.openxmlformats.org/officeDocument/2006/relationships/hyperlink" Target="https://www.sephora.com/product/first-aid-beauty-ingrown-hair-pads-with-bha-aha-P479320" TargetMode="External"/><Relationship Id="rId19" Type="http://schemas.openxmlformats.org/officeDocument/2006/relationships/hyperlink" Target="https://www.bg-mamma.com/?topic=673349.45" TargetMode="External"/><Relationship Id="rId20" Type="http://schemas.openxmlformats.org/officeDocument/2006/relationships/hyperlink" Target="https://datareportal.com/reports/digital-2026-bulgaria" TargetMode="External"/><Relationship Id="rId21" Type="http://schemas.openxmlformats.org/officeDocument/2006/relationships/hyperlink" Target="https://www.reddit.com/r/Healthyhooha/comments/1b1u597/hiding_razor_bumps_before_date/" TargetMode="External"/><Relationship Id="rId22" Type="http://schemas.openxmlformats.org/officeDocument/2006/relationships/hyperlink" Target="https://studio24.bg/intim-lazer-sofiya-v199i1" TargetMode="External"/><Relationship Id="rId23" Type="http://schemas.openxmlformats.org/officeDocument/2006/relationships/hyperlink" Target="https://www.bg-mamma.com/?topic=1750810" TargetMode="External"/><Relationship Id="rId24" Type="http://schemas.openxmlformats.org/officeDocument/2006/relationships/hyperlink" Target="https://www.bg-mamma.com/?topic=673349.120" TargetMode="External"/><Relationship Id="rId25" Type="http://schemas.openxmlformats.org/officeDocument/2006/relationships/hyperlink" Target="https://www.bg-mamma.com/?topic=673349.270" TargetMode="External"/><Relationship Id="rId26" Type="http://schemas.openxmlformats.org/officeDocument/2006/relationships/hyperlink" Target="https://www.bg-mamma.com/?topic=522144" TargetMode="External"/><Relationship Id="rId27" Type="http://schemas.openxmlformats.org/officeDocument/2006/relationships/hyperlink" Target="https://www.bg-mamma.com/?topic=673349.390" TargetMode="External"/><Relationship Id="rId28" Type="http://schemas.openxmlformats.org/officeDocument/2006/relationships/image" Target="media/image1.png"/><Relationship Id="rId29" Type="http://schemas.openxmlformats.org/officeDocument/2006/relationships/hyperlink" Target="https://www.facebook.com/ads/library/?active_status=inactive&amp;ad_type=all&amp;country=BG&amp;view_all_page_id=599988969856679&amp;search_type=page&amp;media_type=all" TargetMode="External"/><Relationship Id="rId30" Type="http://schemas.openxmlformats.org/officeDocument/2006/relationships/hyperlink" Target="https://www.facebook.com/ads/library/?active_status=active&amp;ad_type=all&amp;country=BG&amp;view_all_page_id=994779313728183&amp;search_type=page&amp;media_type=all" TargetMode="External"/><Relationship Id="rId31" Type="http://schemas.openxmlformats.org/officeDocument/2006/relationships/hyperlink" Target="https://www.facebook.com/ads/library/?id=877066782128445" TargetMode="External"/><Relationship Id="rId32" Type="http://schemas.openxmlformats.org/officeDocument/2006/relationships/hyperlink" Target="https://www.facebook.com/ads/library/?id=1419285633390744" TargetMode="External"/><Relationship Id="rId33" Type="http://schemas.openxmlformats.org/officeDocument/2006/relationships/hyperlink" Target="https://www.facebook.com/ads/library/?id=1558371019211836" TargetMode="External"/><Relationship Id="rId34" Type="http://schemas.openxmlformats.org/officeDocument/2006/relationships/hyperlink" Target="https://www.facebook.com/ads/library/?id=3594968063986071" TargetMode="External"/><Relationship Id="rId35" Type="http://schemas.openxmlformats.org/officeDocument/2006/relationships/hyperlink" Target="https://www.facebook.com/ads/library/?id=1299129028935876" TargetMode="External"/><Relationship Id="rId36" Type="http://schemas.openxmlformats.org/officeDocument/2006/relationships/hyperlink" Target="https://www.facebook.com/ads/library/?id=1302228438511250" TargetMode="External"/><Relationship Id="rId37" Type="http://schemas.openxmlformats.org/officeDocument/2006/relationships/hyperlink" Target="https://ec.europa.eu/docsroom/documents/24847/attachments/1/translations/en/renditions/native" TargetMode="External"/><Relationship Id="rId38" Type="http://schemas.openxmlformats.org/officeDocument/2006/relationships/hyperlink" Target="https://eur-lex.europa.eu/legal-content/BG/ALL/?uri=CELEX:32013R0655" TargetMode="External"/><Relationship Id="rId39" Type="http://schemas.openxmlformats.org/officeDocument/2006/relationships/hyperlink" Target="https://transparency.meta.com/policies/ad-standards/restricted-goods-services/health-wellness/" TargetMode="External"/><Relationship Id="rId40" Type="http://schemas.openxmlformats.org/officeDocument/2006/relationships/hyperlink" Target="https://eur-lex.europa.eu/legal-content/EN/TXT/HTML/?uri=CELEX%3A32019R1966" TargetMode="External"/><Relationship Id="rId41" Type="http://schemas.openxmlformats.org/officeDocument/2006/relationships/hyperlink" Target="https://www.mh.government.bg/bg/informaciya-za-grazhdani/kozmetichni-produkti/obshti-iziskvania" TargetMode="External"/><Relationship Id="rId42" Type="http://schemas.openxmlformats.org/officeDocument/2006/relationships/image" Target="media/image2.png"/><Relationship Id="rId43" Type="http://schemas.openxmlformats.org/officeDocument/2006/relationships/hyperlink" Target="https://www.tourism.government.bg/sites/tourism.government.bg/files/documents/2026-03/statisticheski_danni_tourism_2025.pdf" TargetMode="External"/><Relationship Id="rId44" Type="http://schemas.openxmlformats.org/officeDocument/2006/relationships/hyperlink" Target="https://www.facebook.com/studio24.bg/" TargetMode="External"/><Relationship Id="rId45" Type="http://schemas.openxmlformats.org/officeDocument/2006/relationships/hyperlink" Target="https://savenae.com/products.json" TargetMode="External"/><Relationship Id="rId46" Type="http://schemas.openxmlformats.org/officeDocument/2006/relationships/hyperlink" Target="https://savenae.com/policies/shipping-policy" TargetMode="External"/><Relationship Id="rId47" Type="http://schemas.openxmlformats.org/officeDocument/2006/relationships/hyperlink" Target="https://rdap.verisign.com/com/v1/domain/savenae.com" TargetMode="External"/><Relationship Id="rId48" Type="http://schemas.openxmlformats.org/officeDocument/2006/relationships/hyperlink" Target="https://lumibg.com/products/lumi-ingrown" TargetMode="External"/><Relationship Id="rId49" Type="http://schemas.openxmlformats.org/officeDocument/2006/relationships/hyperlink" Target="https://derolibg.com/products/smoothing-solution" TargetMode="External"/><Relationship Id="rId50" Type="http://schemas.openxmlformats.org/officeDocument/2006/relationships/hyperlink" Target="https://www.facebook.com/ads/library/?active_status=active&amp;ad_type=all&amp;country=BG&amp;q=%D0%B2%D1%80%D0%B0%D1%81%D0%BD%D0%B0%D0%BB%D0%B8%20%D0%BA%D0%BE%D1%81%D0%BC%D0%B8&amp;search_type=keyword_unordered" TargetMode="External"/><Relationship Id="rId51" Type="http://schemas.openxmlformats.org/officeDocument/2006/relationships/hyperlink" Target="https://ec.europa.eu/eurostat/databrowser/view/isoc_ec_ib20/default/table?lang=en" TargetMode="External"/><Relationship Id="rId52" Type="http://schemas.openxmlformats.org/officeDocument/2006/relationships/hyperlink" Target="https://pubmed.ncbi.nlm.nih.gov/32167230/" TargetMode="External"/><Relationship Id="rId53" Type="http://schemas.openxmlformats.org/officeDocument/2006/relationships/hyperlink" Target="https://dermnetnz.org/topics/pseudofolliculitis-barbae" TargetMode="External"/><Relationship Id="rId54" Type="http://schemas.openxmlformats.org/officeDocument/2006/relationships/hyperlink" Target="https://www.ulta.com/p/ingrown-hair-pads-with-bha-aha-pimprod2057164" TargetMode="External"/><Relationship Id="rId55" Type="http://schemas.openxmlformats.org/officeDocument/2006/relationships/hyperlink" Target="https://www.amazon.co.uk/Skin-Doctors-Ingrow-Go-120ml/dp/B000CST4H0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SOP ICP за Savenae Smooth Reset Pads в България</dc:title>
  <dc:description>Claude Docs node/d861b6d9-e998@21 docx-w6</dc:description>
  <cp:revision>21</cp:revision>
</cp:coreProperties>
</file>