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uppressLineNumbers w:val="false"/>
        <w:pBdr/>
        <w:spacing w:line="240" w:lineRule="auto"/>
        <w:ind/>
        <w:contextualSpacing w:val="false"/>
        <w:jc w:val="center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lang w:val="sr-Cyrl-RS"/>
        </w:rPr>
        <w:t xml:space="preserve">СРЕДЊА ТЕХНИЧКА ШКОЛА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Сомбор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Вељко Иђушки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center"/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  <w:lang w:val="sr-Cyrl-RS"/>
        </w:rPr>
        <w:t xml:space="preserve">О СТАВОВИМА МЛАДИХ О ПРОТЕСТНИМ</w:t>
        <w:br/>
        <w:t xml:space="preserve">ДЕШАВАЊИМА 2024—ДАНАС И ЊИХОВОМ</w:t>
        <w:br/>
        <w:t xml:space="preserve">УЧЕШЋУ У ЊИМА</w:t>
      </w: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left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Ментор: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Слађана Туцаковић Бузејић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Сомбор, 2026.</w:t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pBdr/>
        <w:shd w:val="nil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  <w:br w:type="page" w:clear="all"/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 w:right="0" w:firstLine="567" w:left="567"/>
        <w:jc w:val="center"/>
        <w:rPr>
          <w:rFonts w:ascii="Times New Roman" w:hAnsi="Times New Roman" w:cs="Times New Roman"/>
          <w:sz w:val="28"/>
          <w:szCs w:val="28"/>
          <w:highlight w:val="none"/>
          <w:lang w:val="sr-Cyrl-R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sr-Cyrl-RS"/>
        </w:rPr>
      </w:r>
    </w:p>
    <w:p>
      <w:pPr>
        <w:pBdr/>
        <w:spacing w:line="240" w:lineRule="auto"/>
        <w:ind w:right="0" w:firstLine="567" w:left="567"/>
        <w:jc w:val="both"/>
        <w:rPr>
          <w:rFonts w:ascii="Times New Roman" w:hAnsi="Times New Roman" w:cs="Times New Roman"/>
          <w:sz w:val="22"/>
          <w:szCs w:val="22"/>
          <w:lang w:val="sr-Cyrl-RS"/>
        </w:rPr>
      </w:pPr>
      <w:r>
        <w:rPr>
          <w:rFonts w:ascii="Times New Roman" w:hAnsi="Times New Roman" w:cs="Times New Roman"/>
          <w:sz w:val="22"/>
          <w:szCs w:val="22"/>
          <w:lang w:val="sr-Cyrl-RS"/>
        </w:rPr>
        <w:t xml:space="preserve">У овом раду изучени су ставови и учешће средњошколаца у протестима који су крајем 2024. Захватили Србију. Подаци су прикупљени помоћу анкете од 66 ученика те сегментовани демографски. Дефинисани су</w:t>
      </w:r>
      <w:r>
        <w:rPr>
          <w:rFonts w:ascii="Times New Roman" w:hAnsi="Times New Roman" w:cs="Times New Roman"/>
          <w:sz w:val="28"/>
          <w:szCs w:val="28"/>
          <w:lang w:val="sr-Cyrl-RS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параметри који нумерички приказују самоперцепцију зрелости, 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подршку протестима и учешће у њима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. Примећено је да просечан средњошколац подржава протесте и повремено учествује у њима. Девојке су чешћи учесници од момака, а ученици из јужне Бачке и Београда радикалнији су у својим погледима него ученици из западне Бачке. Велика је корелација између подршке протестима и учешћа у њима. Сви резултати овисе о премиси</w:t>
      </w:r>
      <w:r>
        <w:rPr>
          <w:rFonts w:ascii="Times New Roman" w:hAnsi="Times New Roman" w:cs="Times New Roman"/>
          <w:sz w:val="28"/>
          <w:szCs w:val="28"/>
          <w:lang w:val="sr-Cyrl-RS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sr-Cyrl-RS"/>
        </w:rPr>
        <w:t xml:space="preserve">да је одабран репрезентативан узорак средњошколаца</w:t>
      </w:r>
      <w:r>
        <w:rPr>
          <w:rFonts w:ascii="Times New Roman" w:hAnsi="Times New Roman" w:cs="Times New Roman"/>
          <w:sz w:val="28"/>
          <w:szCs w:val="28"/>
          <w:lang w:val="sr-Cyrl-RS"/>
        </w:rPr>
        <w:br w:type="page" w:clear="all"/>
      </w:r>
      <w:r/>
      <w:r>
        <w:rPr>
          <w:rFonts w:ascii="Times New Roman" w:hAnsi="Times New Roman" w:cs="Times New Roman"/>
          <w:sz w:val="22"/>
          <w:szCs w:val="22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</w:t>
      </w:r>
      <w:r>
        <w:rPr>
          <w:rFonts w:ascii="Times New Roman" w:hAnsi="Times New Roman" w:cs="Times New Roman"/>
          <w:spacing w:val="28"/>
          <w:sz w:val="24"/>
          <w:szCs w:val="24"/>
          <w:lang w:val="sr-Cyrl-RS"/>
        </w:rPr>
        <w:t xml:space="preserve">Увод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Након пада надстрешнице Железничке станице Нови Сад 1. новембра 2024, која је непосредно пре тога реновирана, неповратно је потресена јавност Републике Србије и перцепција власти у очима великог дела грађана. Жеља за променом доживела је радикализацију и убрзо су почеле протестне активности широм државе, вођене побуњеним студентима. Значајну улогу у тим активностима имали су свакако и средњошколци. Многе школе широм Србије блокиране су од стране сопствених ученика, као вид подршке новонасталом покрету за промену. Из тог разлога, учинило се занимљивим испитати ставове средњошколаца Србије о дешавањима и утврдити колико је заступљено учешће у протестима међу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1. 1. 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Предмет и циљ истраживања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Предмет рада јесте испитивање ставова средњошколаца о протестима и њиховог учешћа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Циљ рада јесте показати у којој мери средњошколци подржавају протесте и учествују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1. 2. 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Хипотезе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  <w:t xml:space="preserve">Хипотеза 1. Постојаће висока корелација између подршке протестима и учешћа у њима.</w:t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  <w:t xml:space="preserve">2.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Метод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  <w:t xml:space="preserve">2. 1. Корпус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  <w:t xml:space="preserve">Корпус овог истраживања чине анонимни одговори на упитник од 19 питања прикупљени 2026 године. На упитник одговорило је 66 средњошколаца, из 15 округа</w:t>
      </w:r>
      <w:r>
        <w:rPr>
          <w:rStyle w:val="871"/>
          <w:rFonts w:ascii="Times New Roman" w:hAnsi="Times New Roman" w:cs="Times New Roman"/>
          <w:sz w:val="24"/>
          <w:szCs w:val="24"/>
          <w:highlight w:val="none"/>
          <w:lang w:val="sr-Cyrl-RS"/>
        </w:rPr>
        <w:footnoteReference w:id="2"/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 xml:space="preserve"> Републике Србије. Међу испитаницима присутни су ученици свих четирију разреда средње школе, припадници обају полова узраста 14—19 година. Упитник је дистрибуиран посредством друштвене мреже Инстаграм. 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  <w:t xml:space="preserve">2. 1. 1. Упитник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Коришћени упитник осмишљен је од стране аутора рада. Чине га два одељка: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демографија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Демографски одељак садржи 5 питања, а одељак о ставовима — 14. Питања у одељку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затвореног су типа, а могући одговори на свако међу њима чине Ликертову скалу (Likert, 1932: 11—20). Упитник је реализован софтверски, у виду веб-странице, која је доступна на адреси </w:t>
      </w:r>
      <w:hyperlink r:id="rId11" w:tooltip="http://veljkoidjuski.github.io/anketaSociologija" w:history="1">
        <w:r>
          <w:rPr>
            <w:rStyle w:val="868"/>
            <w:rFonts w:ascii="Times New Roman" w:hAnsi="Times New Roman" w:cs="Times New Roman"/>
            <w:i w:val="0"/>
            <w:iCs w:val="0"/>
            <w:spacing w:val="0"/>
            <w:sz w:val="24"/>
            <w:szCs w:val="24"/>
            <w:highlight w:val="none"/>
            <w:lang w:val="sr-Cyrl-RS"/>
          </w:rPr>
          <w:t xml:space="preserve">veljkoidjuski.github.io/anketaSociologija </w:t>
        </w:r>
      </w:hyperlink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А) 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Демографија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Питања: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(1. 1) Старост? (14—19)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— (1. 2) Разред? (1—4)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3) Пол? (мушки/женски)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4) Округ?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5) Школа — подручје рада?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Б) 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овом одељку пред испитанике стављено је 14 изјава. Од испитаника тражило се да обележе за сваку изјаву оно поље које најбоље осликава меру у којој се слажу с њом. За сваку од изјава, понуђена поља била су следећа: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 слажем се уопште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(-2),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 слажем се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(-1),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немам мишљење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(0),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слажем се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(1),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слажем се у потпуности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(2).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Изјаве: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Довољно сам зрео да расправљам о темама везаним за уређење друштва.</w:t>
        <w:tab/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(2. 2)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Обичан грађанин не треба се замарати питањима уређења друштва, то никако није његова дужност нити брига; као обичног грађанина, никако ме се не тиче то ко и на који начин управља мојом земљом.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(2. 3)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Борба за праведно уређење друштва морална је дужност сваког грађанина.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(2. 4)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Актуелни покрет за промену прави је пример тријумфа моралних и демократских вредности у друштву Републике Србије.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(2. 5)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Актуелни покрет за промену у ствари јесте пример макијавелистичке, немилосрдне борбе за власт препуне лажи, превара и уцена само ради стицања моћи.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(2. 6)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Неразумно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је прикључити се тренутној борби за промену јер су циљеви и једне и друге стране неморални.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(2. 7)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Неразумно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је прикључити се тренутној борби за промену јер је то рад о глави Србије и Срба.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(2. 8)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Сваки савестан и политички освешћен грађанин требало би да се прикључи актуелном покрету јер тренутно уређење друштва евидентно угрожава квалитет живота.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(2. 9)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Иза актуелног покрета стоји игра и новац злонамерних великих сила.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(2. 10)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Активни сам учесник протестног покрета.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(2. 11)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Сматрам себе премладим за учешће у актуелном протестном покрету.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(2. 12)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Активно радим на промоцији протестних дешавања, путем друштвених мрежа, разговора с познаницима, дебатирања...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(2. 13)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Био бих спреман да се ангажујем и помажем у самој организацији протеста. (одговори потврдно и уколико би се ангажовао само у случају да си старији него тренутно)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(2. 14)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Подржавао бих/подржавам/подржавао сам блокаду своје школе као вид грађанске непослушности у циљу подршке простестном покрету.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Обрада података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1. Отклањање шума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При прикупљању података увек постоји неки шум. Тај шум у оваквим скуповима података може за узрок имати: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обележавање поља различитог од жељеног грешком,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непажљиво читање питања,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насумично одговарање на питања,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збуњујућа формулација питања.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Како би обрада података имала што квалитетније резултате, неутрализује се шум о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тклањањем узрока. Томе може помоћи логичка спрега између питања — нпр. ако су изјаве А и Б узајамно искључиве, а испитаник означи да се слаже са обема, зна се да је или испитаник насумично попунио анкету, или неисправно протумачио изјаву А и/или изјаву Б.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Контролну функцију врше питања (2. 6), (2. 7) и (2. 8). Слагање с било којом од изјава (2. 6) и (2. 7) искључује слагање с изјавом (2. 8),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vice versa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Несл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агање с било којом од тих изјава, с друге стране, не искључује неслагање с било којом другом. Претпоставља се да је испитаник насумично попунио анкету уколико се слаже с изјавом (2. 8) и неком од изјава (2. 6) и (2. 7), и његов одговор се не узима у обзир.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Проверав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ају се и друге узајамно искључиве изјаве. Ако се уочи пречеста појава одговора који се супростстављају узајамној искључивости двају изјава, то имплицира да би нека од тих изјава могла бити збуњујуће формулисана, и та се изјава искључује из корпуса.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2. Метрике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Дефинишемо три метрике које ће бити од користи у обради резултата: индекс перципиране зрелости, индекс подршке протестима и индекс учешћа у протестима.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перципиране зрелости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неког испитаника дат је просеком одговора тог испитаника на питања (2. 1) и (2. 11). Валидност дефиниције метрике испитује се Кронбаховим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коефицијентом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α за колоне (2. 1) и (2. 11). Одговори из колоне (2. 11) узимају се с негативним предзнаком.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подршке протестима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неког испитаника дат је усредњеном алгебарском сумом одговора тог испитаника на питања (2. 2), (2. 3), (2. 4), (2. 6), (2. 7), (2. 8) и (2. 9), при чему се одговори на питања (2. 2), (2. 6), (2. 7) i (2. 9) узимају с негативним предзнаком.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keepLines w:val="false"/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Индекс учешћа у протестима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</w:t>
      </w:r>
      <w:r>
        <w:rPr>
          <w:highlight w:val="none"/>
          <w:lang w:val="sr-Cyrl-R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неког испитаника дат је његовим просечним одговором на питања (2. 10), (2. 12), (2. 13) и (2. 14).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  <w14:ligatures w14:val="none"/>
        </w:rPr>
      </w:r>
    </w:p>
    <w:p>
      <w:pPr>
        <w:keepLines w:val="false"/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Валидност употребе сваке метрике испитује се Кронбаховим коефицијентом α над колонама које та метрика узима у обзир. Висока вредност α упућује на јаку корелацију међу колонама.</w:t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sz w:val="28"/>
          <w:szCs w:val="28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3. Резултати 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1. дати су одговори испитаника.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Табела 3. 1.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Одговори испитаника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20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19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18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17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16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15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14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13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10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9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8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7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6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5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4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3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Шумадијски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Сремски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Моравички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Расински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Јужнобанатски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Колубарски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Зајечарски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Зајечарски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Јужнобачки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</w:rPr>
              <w:t xml:space="preserve">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Ликовна школа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Електротехника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Електротехника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Машинство и обр. метала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</w:rPr>
              <w:t xml:space="preserve">-2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suppressLineNumbers w:val="false"/>
        <w:pBdr/>
        <w:spacing w:after="57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___________________________________________________________________________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Ж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Нишавски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Рашки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Јабланички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Топлички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Шумадијски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Расински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Златиборски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Пољопр, пр. и пр. хране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color w:val="000000" w:themeColor="text1"/>
                <w:sz w:val="22"/>
                <w:szCs w:val="22"/>
              </w:rPr>
            </w:r>
            <w:r>
              <w:rPr>
                <w:color w:val="000000" w:themeColor="text1"/>
                <w:sz w:val="22"/>
                <w:szCs w:val="22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suppressLineNumbers w:val="false"/>
        <w:pBdr/>
        <w:spacing w:after="57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___________________________________________________________________________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54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53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52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51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49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48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47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45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19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Рашки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Западнобачки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Западнобачки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Здравство и соц. заштита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Геодезија и грађевинарство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Електротехника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Електротехника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suppressLineNumbers w:val="false"/>
        <w:pBdr/>
        <w:spacing w:after="0" w:before="0"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1. Демографија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Међу испитаницима, 34 особе (51,51%) изјаснио се као мушко, а 30 особа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(45,45%)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 као женско. Преостала два испитаника није означило свој пол.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Jeдан испитаник (1,51%) узраста је 14 година, четири (6,06%) су узраста 15 година, шест (9,09%) су узраста 16 година, 18 (27,27%) су узраста 17 година, 34 (51,51%) су узраста 18 година и три (4,54%) су узраста 19 година.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Четири испитаника (6,06%) ученици су првог разреда, седам (10,60%) — другог разреда, 15 (22,72%) — трећег разреда и 39 (59,09%) — четвртог разреда.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Највећи број испитаника — 29 (43,94%) — живи у Западнобачком округу. Значајан је и број испитаника са подручја Града Београда — њих 11 (16,67%). Из Јужнобачког округа јесте седам (10,60%) испитаника, а из Златиборског — че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тири (6,06%). Са подручја Шумадијског, Зајечарског, Расинског и Рашког округа јавило се по двоје испитаника (по 3,03%), док је са подручја Сремског, Јужнобанатског, Колубарског, Нишавског, Јабланичког и Топличког округа стигао по један одговор (по 1,51%).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  <w:t xml:space="preserve">39 (59,09%) испитаника су гимназијалци, а преосталих 27 (40,90%) ученици су струковних школа.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2. Отклањање шума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keepLines w:val="true"/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На контролна питања (2. 6), (2. 7) и (2. 8) апсурдне одговоре дали су испитаници 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10, 23, 55 и 56 и њихови одговори не узимају се у обзир.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ab/>
        <w:t xml:space="preserve">Са обема од изјава (2. 4) и (2. 5), које су уз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ајамно искључиве, слаже се 18,18% испитаника — готово сваки пети. Како се 83,33% њих слаже и са изјавом (2. 8), која је такође супротстављена изјави (2. 5), претпоставља се да је изјава (2. 5) збуњујуће формулисана, па се одговори на њу не узимају у обзир.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Нумеричка анализа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0,69.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0,87.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Кронбахов коефицијент α за колоне које метрика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узима у обзир износи 0,81.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У табели 3. 3. 1. изнесен је за сваки став просечни одговор, удео оних који су се сложили са ставом (дали оцену 1 или 2) и удео оних који се нису сложили са ставом (дали оцену -1 или -2).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1.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Просечни одговори по ставовима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24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Став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Просечан одговор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Удео ЗА (%)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Удео ПРОТИВ (%)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1.21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88.71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4.84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-1.60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6.45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90.32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1.16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81.97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9.84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0.92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72.58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9.68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-1.08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6.45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70.97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-1.39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3.23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85.48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1.11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79.03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-0.65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12.90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58.06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0.50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58.06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25.81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-1.11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11.29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82.26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0.18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46.77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30.65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0.47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54.84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24.19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1.23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87.10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8.06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 w:firstLine="567"/>
        <w:contextualSpacing w:val="false"/>
        <w:jc w:val="righ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1,16.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1,13.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Збирни коефицијент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износи 0,59.</w:t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3. 2. доведени су у упоредбу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за мушки и женски пол.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pacing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2.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полу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Пол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мушки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1,06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strike w:val="0"/>
                <w:color w:val="000000"/>
                <w:sz w:val="24"/>
                <w:szCs w:val="24"/>
                <w:highlight w:val="none"/>
                <w:u w:val="none"/>
                <w:vertAlign w:val="baseli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0,43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женски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4"/>
                <w:szCs w:val="28"/>
                <w:u w:val="none"/>
                <w:vertAlign w:val="baseline"/>
              </w:rPr>
              <w:t xml:space="preserve">1,08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szCs w:val="24"/>
                <w:u w:val="none"/>
                <w:vertAlign w:val="baseline"/>
              </w:rPr>
              <w:t xml:space="preserve">0,68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3. 3. приказани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/>
          <w:iCs/>
          <w:highlight w:val="none"/>
          <w:lang w:val="sr-Cyrl-RS"/>
        </w:rPr>
        <w:t xml:space="preserve">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по старости. Резултати за узрасте 14, 15 и 19 наведени су са астериском (*) како би се назначило да због малог узорка не носе нарочиту сазнајну тежину.</w:t>
      </w:r>
      <w:r>
        <w:rPr>
          <w:rStyle w:val="871"/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footnoteReference w:id="3"/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3.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старости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Старост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*14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*1,25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*15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*1,88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*2,00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*1,06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1,33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1,67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0,91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1,19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0,31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1,14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1,26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0,54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  <w:t xml:space="preserve">*19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*1,17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*0,78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right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*1,00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4.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матураната и ученика млађих разреда.</w:t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4.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разреду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Старост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матуранти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1,03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243"/>
        </w:trPr>
        <w:tc>
          <w:tcPr>
            <w:tcBorders>
              <w:top w:val="none" w:color="000000" w:sz="8" w:space="0"/>
              <w:left w:val="none" w:color="000000" w:sz="8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млађи разреди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1,24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8" w:space="0"/>
              <w:left w:val="none" w:color="000000" w:sz="4" w:space="0"/>
              <w:bottom w:val="singl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8"/>
              </w:rPr>
              <w:t xml:space="preserve">0,56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5.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гимназијалаца и ученика струковних школа.</w:t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5.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подручју рада школа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Подручје рада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1,34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1,39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0,78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струковна школа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0,88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0,71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0,29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У табели 3. 3. 6. упоређени су параметри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z, 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код ученика из Западнобачког округа, Јужнобачког округа и града Београда.</w:t>
      </w:r>
      <w:r>
        <w:rPr>
          <w:rStyle w:val="871"/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footnoteReference w:id="4"/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  <w:r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:lang w:val="sr-Cyrl-RS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center"/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  <w:t xml:space="preserve">Табела 3. 3. 6. 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Сегментација</w:t>
      </w:r>
      <w:r>
        <w:rPr>
          <w:rFonts w:ascii="Times New Roman" w:hAnsi="Times New Roman" w:eastAsia="Times New Roman" w:cs="Times New Roman"/>
          <w:i/>
          <w:iCs/>
          <w:spacing w:val="0"/>
          <w:sz w:val="24"/>
          <w:szCs w:val="24"/>
          <w:highlight w:val="none"/>
        </w:rPr>
        <w:t xml:space="preserve"> по округу</w:t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center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tbl>
      <w:tblPr>
        <w:tblStyle w:val="74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32"/>
        <w:gridCol w:w="2232"/>
        <w:gridCol w:w="2232"/>
        <w:gridCol w:w="2232"/>
      </w:tblGrid>
      <w:tr>
        <w:trPr/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Округ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  <w:tc>
          <w:tcPr>
            <w:tcBorders>
              <w:top w:val="single" w:color="000000" w:sz="8" w:space="0"/>
              <w:left w:val="none" w:color="000000" w:sz="8" w:space="0"/>
              <w:bottom w:val="single" w:color="000000" w:sz="8" w:space="0"/>
              <w:right w:val="none" w:color="000000" w:sz="8" w:space="0"/>
            </w:tcBorders>
            <w:tcW w:w="2232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  <w:lang w:val="sr-Cyrl-RS"/>
              </w:rPr>
              <w:t xml:space="preserve">u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pacing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8" w:space="0"/>
              <w:left w:val="none" w:color="000000" w:sz="8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single" w:color="000000" w:sz="8" w:space="0"/>
              <w:left w:val="none" w:color="000000" w:sz="4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0,48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Јужнобачки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1,50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1,12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0,57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8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right"/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pP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  <w:t xml:space="preserve">Град Београд</w:t>
            </w:r>
            <w:r>
              <w:rPr>
                <w:rFonts w:ascii="Times New Roman" w:hAnsi="Times New Roman" w:eastAsia="Times New Roman" w:cs="Times New Roman"/>
                <w:spacing w:val="0"/>
                <w:sz w:val="24"/>
                <w:szCs w:val="24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1,27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4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1,09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none" w:color="000000" w:sz="8" w:space="0"/>
            </w:tcBorders>
            <w:tcW w:w="2232" w:type="dxa"/>
            <w:vMerge w:val="restart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0,64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ab/>
        <w:t xml:space="preserve">Кронбахов коефицијент α за параметре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  <w:lang w:val="sr-Cyrl-RS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  <w:lang w:val="sr-Cyrl-RS"/>
        </w:rPr>
        <w:t xml:space="preserve">u 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свих испитаника износи 0,77.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ab/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z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u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0,63.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z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p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0,58.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  <w:t xml:space="preserve">Кронбахов коефицијент α само за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p </w:t>
      </w:r>
      <w:r>
        <w:rPr>
          <w:rFonts w:ascii="Times New Roman" w:hAnsi="Times New Roman" w:cs="Times New Roman"/>
          <w:bCs w:val="0"/>
          <w:i w:val="0"/>
          <w:iCs w:val="0"/>
          <w:sz w:val="24"/>
          <w:szCs w:val="24"/>
          <w:highlight w:val="none"/>
          <w14:ligatures w14:val="none"/>
        </w:rPr>
        <w:t xml:space="preserve">и </w:t>
      </w:r>
      <w:r>
        <w:rPr>
          <w:rFonts w:ascii="Times New Roman" w:hAnsi="Times New Roman" w:cs="Times New Roman"/>
          <w:bCs w:val="0"/>
          <w:i/>
          <w:iCs/>
          <w:sz w:val="24"/>
          <w:szCs w:val="24"/>
          <w:highlight w:val="none"/>
          <w14:ligatures w14:val="none"/>
        </w:rPr>
        <w:t xml:space="preserve">u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износи 0,80.</w:t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Дискусија о резултатима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Кронбахови коефицијенти α за колоне које су узете у обзир за сваку од дефинисаних метрика указују на висок степен корелације и оправдавају примену дефинисаних метрика.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Просечан испитаник сматра да је прилично зрео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z =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1,16)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, подржава протесте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p =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1,13)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и повремено им присуствује (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= 0,59)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Просечна средњошколска девојка види себе зрелијом него просечан средњошколски момак, што је у складу с познатим у науци, и чешћи је учесник протеста. И момак и девојка подржавају протесте.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Није уочена монотоност промене параметара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z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p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 и 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highlight w:val="none"/>
        </w:rPr>
        <w:t xml:space="preserve">u 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са старошћу испитаника; ипак, просечни матурант сматра себе зрелијим него млађи и радикалнији је у подршци протестима. То је у сваком случају очекивано — матурант је постао пунолетан и стекао је право гласа, па га више занима уређење државе.</w:t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Уочљиво је да гимназијалци виде себе зрелијима од ученика струковних школа. Такође, у већој мери подржавају протесте и чешће им присуствују, мада и ученици струковних школа у просеку подржавају протесте.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Ученик из Јужнобачког округа или Града Београда вероватније ће подржати и учествовати на протестима него ученик из Западнобачког округа. Прве две средине јесу округ у коме се десио повод за протесте и главни град Републике Србије, што може оправдати радикалнију подршку покрету.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Корелација између перцепције зрелости је висока. Поготово је значајна корелација између подршке протестима и учешћа у њима. Уколико средњошколац подржава протесте, вероватно и учествује у њима.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line="240" w:lineRule="auto"/>
        <w:ind w:firstLine="567"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3. Закључак</w:t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  <w:r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Циљ рада — дознати шта средњошколци мисле о актуелном протестном покрету — испуњен је. Потврђена је хипотеза 1. Такође је запажен одређен степен корелације између сопствене перцепције зрелости и подршке и учешћа у протестима. Највећи број средњошколаца подржава протестне активности.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Најзанимљивије опажање јесте чињеница да је позитивнији став о протестима и чешће учешће запажено у Јужнобачком округу и на територији Града Београда него у Западнобачком округу. То у сваком случају указује на утицај средине на перцепцију тренутних догађања. Такође, интересантно је чешће учешће девојака на протестима.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eastAsia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У даљем истраживању било би пожељно прикупити већи корпус и урадити детаљнију сегментацију и анализу истог, како би се исцрпело више знања.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bCs w:val="0"/>
          <w:i w:val="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  <w:t xml:space="preserve">Сви добијени резултати овисе о премиси да је одабран репрезентативан узорак становништва.</w:t>
      </w:r>
      <w:r>
        <w:rPr>
          <w:rFonts w:ascii="Times New Roman" w:hAnsi="Times New Roman" w:eastAsia="Times New Roman" w:cs="Times New Roman"/>
          <w:i w:val="0"/>
          <w:iCs w:val="0"/>
          <w:sz w:val="24"/>
          <w:szCs w:val="24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2">
    <w:p>
      <w:pPr>
        <w:pStyle w:val="869"/>
        <w:pBdr/>
        <w:spacing/>
        <w:ind/>
        <w:rPr>
          <w:rFonts w:ascii="Times New Roman" w:hAnsi="Times New Roman" w:cs="Times New Roman"/>
          <w:sz w:val="18"/>
          <w:szCs w:val="22"/>
        </w:rPr>
      </w:pPr>
      <w:r>
        <w:rPr>
          <w:rStyle w:val="871"/>
          <w:sz w:val="18"/>
          <w:szCs w:val="22"/>
        </w:rPr>
        <w:footnoteRef/>
      </w:r>
      <w:r>
        <w:rPr>
          <w:sz w:val="18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18"/>
          <w:szCs w:val="22"/>
        </w:rPr>
        <w:t xml:space="preserve">Рачунајући и Град Београд</w:t>
      </w:r>
      <w:r>
        <w:rPr>
          <w:rFonts w:ascii="Times New Roman" w:hAnsi="Times New Roman" w:cs="Times New Roman"/>
          <w:sz w:val="18"/>
          <w:szCs w:val="22"/>
        </w:rPr>
      </w:r>
      <w:r>
        <w:rPr>
          <w:rFonts w:ascii="Times New Roman" w:hAnsi="Times New Roman" w:cs="Times New Roman"/>
          <w:sz w:val="18"/>
          <w:szCs w:val="22"/>
        </w:rPr>
      </w:r>
    </w:p>
  </w:footnote>
  <w:footnote w:id="3">
    <w:p>
      <w:pPr>
        <w:pStyle w:val="869"/>
        <w:pBdr/>
        <w:spacing/>
        <w:ind/>
        <w:rPr>
          <w:rFonts w:ascii="Times New Roman" w:hAnsi="Times New Roman" w:cs="Times New Roman"/>
          <w:sz w:val="20"/>
          <w:szCs w:val="24"/>
        </w:rPr>
      </w:pPr>
      <w:r>
        <w:rPr>
          <w:rStyle w:val="871"/>
          <w:sz w:val="18"/>
          <w:szCs w:val="22"/>
        </w:rPr>
        <w:footnoteRef/>
      </w:r>
      <w:r>
        <w:rPr>
          <w:sz w:val="18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18"/>
          <w:szCs w:val="22"/>
        </w:rPr>
        <w:t xml:space="preserve">Дефинисали смо да је релевантан узорак од 6 и више испитаника.</w:t>
      </w:r>
      <w:r>
        <w:rPr>
          <w:rFonts w:ascii="Times New Roman" w:hAnsi="Times New Roman" w:cs="Times New Roman"/>
          <w:sz w:val="20"/>
          <w:szCs w:val="24"/>
        </w:rPr>
      </w:r>
      <w:r>
        <w:rPr>
          <w:rFonts w:ascii="Times New Roman" w:hAnsi="Times New Roman" w:cs="Times New Roman"/>
          <w:sz w:val="20"/>
          <w:szCs w:val="24"/>
        </w:rPr>
      </w:r>
    </w:p>
  </w:footnote>
  <w:footnote w:id="4">
    <w:p>
      <w:pPr>
        <w:pStyle w:val="869"/>
        <w:pBdr/>
        <w:spacing/>
        <w:ind/>
        <w:rPr>
          <w:rFonts w:ascii="Times New Roman" w:hAnsi="Times New Roman" w:cs="Times New Roman"/>
        </w:rPr>
      </w:pPr>
      <w:r>
        <w:rPr>
          <w:rStyle w:val="871"/>
        </w:rPr>
        <w:footnoteRef/>
      </w:r>
      <w:r>
        <w:t xml:space="preserve"> </w:t>
      </w:r>
      <w:r>
        <w:rPr>
          <w:rFonts w:ascii="Times New Roman" w:hAnsi="Times New Roman" w:eastAsia="Times New Roman" w:cs="Times New Roman"/>
        </w:rPr>
        <w:t xml:space="preserve">Остали окрузи нису посматрани због премалог узорка (5 или мање испитаника)</w:t>
      </w:r>
      <w:r/>
      <w:r>
        <w:rPr>
          <w:rFonts w:ascii="Times New Roman" w:hAnsi="Times New Roman" w:cs="Times New Roman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3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82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4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6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8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0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2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4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6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82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567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10">
    <w:name w:val="Heading 1"/>
    <w:basedOn w:val="886"/>
    <w:next w:val="886"/>
    <w:link w:val="711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711">
    <w:name w:val="Heading 1 Char"/>
    <w:link w:val="710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712">
    <w:name w:val="Heading 2"/>
    <w:basedOn w:val="886"/>
    <w:next w:val="886"/>
    <w:link w:val="713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713">
    <w:name w:val="Heading 2 Char"/>
    <w:link w:val="712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714">
    <w:name w:val="Heading 3"/>
    <w:basedOn w:val="886"/>
    <w:next w:val="886"/>
    <w:link w:val="715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715">
    <w:name w:val="Heading 3 Char"/>
    <w:link w:val="714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716">
    <w:name w:val="Heading 4"/>
    <w:basedOn w:val="886"/>
    <w:next w:val="886"/>
    <w:link w:val="717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17">
    <w:name w:val="Heading 4 Char"/>
    <w:link w:val="71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18">
    <w:name w:val="Heading 5"/>
    <w:basedOn w:val="886"/>
    <w:next w:val="886"/>
    <w:link w:val="719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19">
    <w:name w:val="Heading 5 Char"/>
    <w:link w:val="71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20">
    <w:name w:val="Heading 6"/>
    <w:basedOn w:val="886"/>
    <w:next w:val="886"/>
    <w:link w:val="721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21">
    <w:name w:val="Heading 6 Char"/>
    <w:link w:val="720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22">
    <w:name w:val="Heading 7"/>
    <w:basedOn w:val="886"/>
    <w:next w:val="886"/>
    <w:link w:val="723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23">
    <w:name w:val="Heading 7 Char"/>
    <w:link w:val="722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24">
    <w:name w:val="Heading 8"/>
    <w:basedOn w:val="886"/>
    <w:next w:val="886"/>
    <w:link w:val="725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25">
    <w:name w:val="Heading 8 Char"/>
    <w:link w:val="724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26">
    <w:name w:val="Heading 9"/>
    <w:basedOn w:val="886"/>
    <w:next w:val="886"/>
    <w:link w:val="727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27">
    <w:name w:val="Heading 9 Char"/>
    <w:link w:val="726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28">
    <w:name w:val="Title"/>
    <w:basedOn w:val="886"/>
    <w:next w:val="886"/>
    <w:link w:val="729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29">
    <w:name w:val="Title Char"/>
    <w:link w:val="728"/>
    <w:uiPriority w:val="10"/>
    <w:pPr>
      <w:pBdr/>
      <w:spacing/>
      <w:ind/>
    </w:pPr>
    <w:rPr>
      <w:sz w:val="48"/>
      <w:szCs w:val="48"/>
    </w:rPr>
  </w:style>
  <w:style w:type="paragraph" w:styleId="730">
    <w:name w:val="Subtitle"/>
    <w:basedOn w:val="886"/>
    <w:next w:val="886"/>
    <w:link w:val="731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31">
    <w:name w:val="Subtitle Char"/>
    <w:link w:val="730"/>
    <w:uiPriority w:val="11"/>
    <w:pPr>
      <w:pBdr/>
      <w:spacing/>
      <w:ind/>
    </w:pPr>
    <w:rPr>
      <w:sz w:val="24"/>
      <w:szCs w:val="24"/>
    </w:rPr>
  </w:style>
  <w:style w:type="paragraph" w:styleId="732">
    <w:name w:val="Quote"/>
    <w:basedOn w:val="886"/>
    <w:next w:val="886"/>
    <w:link w:val="733"/>
    <w:uiPriority w:val="29"/>
    <w:qFormat/>
    <w:pPr>
      <w:pBdr/>
      <w:spacing/>
      <w:ind w:right="720" w:left="720"/>
    </w:pPr>
    <w:rPr>
      <w:i/>
    </w:rPr>
  </w:style>
  <w:style w:type="character" w:styleId="733">
    <w:name w:val="Quote Char"/>
    <w:link w:val="732"/>
    <w:uiPriority w:val="29"/>
    <w:pPr>
      <w:pBdr/>
      <w:spacing/>
      <w:ind/>
    </w:pPr>
    <w:rPr>
      <w:i/>
    </w:rPr>
  </w:style>
  <w:style w:type="paragraph" w:styleId="734">
    <w:name w:val="Intense Quote"/>
    <w:basedOn w:val="886"/>
    <w:next w:val="886"/>
    <w:link w:val="735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35">
    <w:name w:val="Intense Quote Char"/>
    <w:link w:val="734"/>
    <w:uiPriority w:val="30"/>
    <w:pPr>
      <w:pBdr/>
      <w:spacing/>
      <w:ind/>
    </w:pPr>
    <w:rPr>
      <w:i/>
    </w:rPr>
  </w:style>
  <w:style w:type="paragraph" w:styleId="736">
    <w:name w:val="Header"/>
    <w:basedOn w:val="886"/>
    <w:link w:val="73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  <w:jc w:val="right"/>
    </w:pPr>
  </w:style>
  <w:style w:type="character" w:styleId="737">
    <w:name w:val="Header Char"/>
    <w:link w:val="736"/>
    <w:uiPriority w:val="99"/>
    <w:pPr>
      <w:pBdr/>
      <w:spacing/>
      <w:ind/>
    </w:pPr>
  </w:style>
  <w:style w:type="paragraph" w:styleId="738">
    <w:name w:val="Footer"/>
    <w:basedOn w:val="886"/>
    <w:link w:val="74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39">
    <w:name w:val="Footer Char"/>
    <w:link w:val="738"/>
    <w:uiPriority w:val="99"/>
    <w:pPr>
      <w:pBdr/>
      <w:spacing/>
      <w:ind/>
    </w:pPr>
  </w:style>
  <w:style w:type="paragraph" w:styleId="740">
    <w:name w:val="Caption"/>
    <w:basedOn w:val="886"/>
    <w:next w:val="886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41">
    <w:name w:val="Caption Char"/>
    <w:basedOn w:val="740"/>
    <w:link w:val="738"/>
    <w:uiPriority w:val="99"/>
    <w:pPr>
      <w:pBdr/>
      <w:spacing/>
      <w:ind/>
    </w:pPr>
  </w:style>
  <w:style w:type="table" w:styleId="742">
    <w:name w:val="Table Grid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8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69">
    <w:name w:val="footnote text"/>
    <w:basedOn w:val="886"/>
    <w:link w:val="870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70">
    <w:name w:val="Footnote Text Char"/>
    <w:link w:val="869"/>
    <w:uiPriority w:val="99"/>
    <w:pPr>
      <w:pBdr/>
      <w:spacing/>
      <w:ind/>
    </w:pPr>
    <w:rPr>
      <w:sz w:val="18"/>
    </w:rPr>
  </w:style>
  <w:style w:type="character" w:styleId="871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6"/>
    <w:link w:val="873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73">
    <w:name w:val="Endnote Text Char"/>
    <w:link w:val="872"/>
    <w:uiPriority w:val="99"/>
    <w:pPr>
      <w:pBdr/>
      <w:spacing/>
      <w:ind/>
    </w:pPr>
    <w:rPr>
      <w:sz w:val="20"/>
    </w:rPr>
  </w:style>
  <w:style w:type="character" w:styleId="87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toc 1"/>
    <w:basedOn w:val="886"/>
    <w:next w:val="886"/>
    <w:uiPriority w:val="39"/>
    <w:unhideWhenUsed/>
    <w:pPr>
      <w:pBdr/>
      <w:spacing w:after="57"/>
      <w:ind w:right="0" w:firstLine="0" w:left="0"/>
    </w:pPr>
  </w:style>
  <w:style w:type="paragraph" w:styleId="876">
    <w:name w:val="toc 2"/>
    <w:basedOn w:val="886"/>
    <w:next w:val="886"/>
    <w:uiPriority w:val="39"/>
    <w:unhideWhenUsed/>
    <w:pPr>
      <w:pBdr/>
      <w:spacing w:after="57"/>
      <w:ind w:right="0" w:firstLine="0" w:left="283"/>
    </w:pPr>
  </w:style>
  <w:style w:type="paragraph" w:styleId="877">
    <w:name w:val="toc 3"/>
    <w:basedOn w:val="886"/>
    <w:next w:val="886"/>
    <w:uiPriority w:val="39"/>
    <w:unhideWhenUsed/>
    <w:pPr>
      <w:pBdr/>
      <w:spacing w:after="57"/>
      <w:ind w:right="0" w:firstLine="0" w:left="567"/>
    </w:pPr>
  </w:style>
  <w:style w:type="paragraph" w:styleId="878">
    <w:name w:val="toc 4"/>
    <w:basedOn w:val="886"/>
    <w:next w:val="886"/>
    <w:uiPriority w:val="39"/>
    <w:unhideWhenUsed/>
    <w:pPr>
      <w:pBdr/>
      <w:spacing w:after="57"/>
      <w:ind w:right="0" w:firstLine="0" w:left="850"/>
    </w:pPr>
  </w:style>
  <w:style w:type="paragraph" w:styleId="879">
    <w:name w:val="toc 5"/>
    <w:basedOn w:val="886"/>
    <w:next w:val="886"/>
    <w:uiPriority w:val="39"/>
    <w:unhideWhenUsed/>
    <w:pPr>
      <w:pBdr/>
      <w:spacing w:after="57"/>
      <w:ind w:right="0" w:firstLine="0" w:left="1134"/>
    </w:pPr>
  </w:style>
  <w:style w:type="paragraph" w:styleId="880">
    <w:name w:val="toc 6"/>
    <w:basedOn w:val="886"/>
    <w:next w:val="886"/>
    <w:uiPriority w:val="39"/>
    <w:unhideWhenUsed/>
    <w:pPr>
      <w:pBdr/>
      <w:spacing w:after="57"/>
      <w:ind w:right="0" w:firstLine="0" w:left="1417"/>
    </w:pPr>
  </w:style>
  <w:style w:type="paragraph" w:styleId="881">
    <w:name w:val="toc 7"/>
    <w:basedOn w:val="886"/>
    <w:next w:val="886"/>
    <w:uiPriority w:val="39"/>
    <w:unhideWhenUsed/>
    <w:pPr>
      <w:pBdr/>
      <w:spacing w:after="57"/>
      <w:ind w:right="0" w:firstLine="0" w:left="1701"/>
    </w:pPr>
  </w:style>
  <w:style w:type="paragraph" w:styleId="882">
    <w:name w:val="toc 8"/>
    <w:basedOn w:val="886"/>
    <w:next w:val="886"/>
    <w:uiPriority w:val="39"/>
    <w:unhideWhenUsed/>
    <w:pPr>
      <w:pBdr/>
      <w:spacing w:after="57"/>
      <w:ind w:right="0" w:firstLine="0" w:left="1984"/>
    </w:pPr>
  </w:style>
  <w:style w:type="paragraph" w:styleId="883">
    <w:name w:val="toc 9"/>
    <w:basedOn w:val="886"/>
    <w:next w:val="886"/>
    <w:uiPriority w:val="39"/>
    <w:unhideWhenUsed/>
    <w:pPr>
      <w:pBdr/>
      <w:spacing w:after="57"/>
      <w:ind w:right="0" w:firstLine="0" w:left="2268"/>
    </w:p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91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http://veljkoidjuski.github.io/anketaSociologij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2026-02-20T21:10:24Z</dcterms:modified>
</cp:coreProperties>
</file>