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uppressLineNumbers w:val="false"/>
        <w:pBdr/>
        <w:spacing w:line="240" w:lineRule="auto"/>
        <w:ind/>
        <w:contextualSpacing w:val="false"/>
        <w:jc w:val="center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lang w:val="sr-Cyrl-RS"/>
        </w:rPr>
        <w:t xml:space="preserve">СРЕДЊА ТЕХНИЧКА ШКОЛА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Сомбор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Вељко Иђушки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center"/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  <w:lang w:val="sr-Cyrl-RS"/>
        </w:rPr>
        <w:t xml:space="preserve">О СТАВОВИМА МЛАДИХ О ПРОТЕСТНИМ</w:t>
        <w:br/>
        <w:t xml:space="preserve">ДЕШАВАЊИМА 2024—ДАНАС И ЊИХОВОМ</w:t>
        <w:br/>
        <w:t xml:space="preserve">УЧЕШЋУ У ЊИМА</w:t>
      </w: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left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Ментор: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Слађана Туцаковић Бузејић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Сомбор, 2026.</w:t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pBdr/>
        <w:shd w:val="nil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  <w:br w:type="page" w:clear="all"/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 w:right="0" w:firstLine="567" w:left="567"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 w:right="0" w:firstLine="567" w:left="567"/>
        <w:jc w:val="both"/>
        <w:rPr>
          <w:rFonts w:ascii="Times New Roman" w:hAnsi="Times New Roman" w:cs="Times New Roman"/>
          <w:sz w:val="22"/>
          <w:szCs w:val="22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овом раду изучени су ставови и учешће средњошколаца у протестима који су крајем 2024. захватили Србију. Подаци су прикупљени од 66 ученика помоћу нарочите анкете те сегментовани демографски. Дефинисани су</w:t>
      </w:r>
      <w:r>
        <w:rPr>
          <w:rFonts w:ascii="Times New Roman" w:hAnsi="Times New Roman" w:cs="Times New Roman"/>
          <w:sz w:val="32"/>
          <w:szCs w:val="32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параметри који нумерички приказују ученичку самоперцепцију зрелости,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подршку протестима и учешће у њима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. Примећено је да просечан средњошколац подржава протесте и повремено учествује у њима. Девојке су чешћи учесници од момака, а ученици из јужне Бачке и Београда радикалнији су у својим погледима него ученици из западне Бачке. Висок је степен корелације између подршке протестима и учешћа у њима, а није занемарљива ни корелација тих двају параметара са самоперцепцијом зрелости.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Сви резултати овисе о премиси</w:t>
      </w:r>
      <w:r>
        <w:rPr>
          <w:rFonts w:ascii="Times New Roman" w:hAnsi="Times New Roman" w:cs="Times New Roman"/>
          <w:sz w:val="32"/>
          <w:szCs w:val="32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да је одабран репрезентативан узорак средњошколаца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.</w:t>
      </w:r>
      <w:r>
        <w:rPr>
          <w:rFonts w:ascii="Times New Roman" w:hAnsi="Times New Roman" w:cs="Times New Roman"/>
          <w:sz w:val="22"/>
          <w:szCs w:val="22"/>
          <w:lang w:val="sr-Cyrl-RS"/>
        </w:rPr>
      </w:r>
    </w:p>
    <w:p>
      <w:pPr>
        <w:pBdr/>
        <w:spacing w:line="240" w:lineRule="auto"/>
        <w:ind w:right="0" w:firstLine="567" w:left="567"/>
        <w:jc w:val="both"/>
        <w:rPr>
          <w:rFonts w:ascii="Times New Roman" w:hAnsi="Times New Roman" w:cs="Times New Roman"/>
          <w:sz w:val="22"/>
          <w:szCs w:val="22"/>
          <w:lang w:val="sr-Cyrl-RS"/>
        </w:rPr>
      </w:pPr>
      <w:r>
        <w:rPr>
          <w:rFonts w:ascii="Times New Roman" w:hAnsi="Times New Roman" w:cs="Times New Roman"/>
          <w:i/>
          <w:iCs/>
          <w:sz w:val="22"/>
          <w:szCs w:val="22"/>
          <w:lang w:val="sr-Cyrl-RS"/>
        </w:rPr>
        <w:t xml:space="preserve">Кључне речи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: 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протести, средњошколци, анкета, став, активизам</w:t>
      </w:r>
      <w:r>
        <w:rPr>
          <w:rFonts w:ascii="Times New Roman" w:hAnsi="Times New Roman" w:cs="Times New Roman"/>
          <w:sz w:val="28"/>
          <w:szCs w:val="28"/>
          <w:lang w:val="sr-Cyrl-RS"/>
        </w:rPr>
        <w:br w:type="page" w:clear="all"/>
      </w:r>
      <w:r>
        <w:rPr>
          <w:rFonts w:ascii="Times New Roman" w:hAnsi="Times New Roman" w:cs="Times New Roman"/>
          <w:sz w:val="22"/>
          <w:szCs w:val="22"/>
          <w:lang w:val="sr-Cyrl-RS"/>
        </w:rPr>
      </w:r>
      <w:r/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</w:t>
      </w:r>
      <w:r>
        <w:rPr>
          <w:rFonts w:ascii="Times New Roman" w:hAnsi="Times New Roman" w:cs="Times New Roman"/>
          <w:spacing w:val="28"/>
          <w:sz w:val="24"/>
          <w:szCs w:val="24"/>
          <w:lang w:val="sr-Cyrl-RS"/>
        </w:rPr>
        <w:t xml:space="preserve">Увод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Након пада надстрешнице Железничке станице Нови Сад 1. новембра 2024, која је непосредно пре тога реновирана, неповратно је потресена јавност Републике Србије и перцепција власти у очима великог дела грађана. Жеља за променом доживела је радикализацију и убрзо су почеле протестне активности широм државе, вођене побуњеним студентима. Значајну улогу у тим активностима имали су свакако и средњошколци. Многе школе широм Србије блокиране су од стране сопствених ученика, као вид подршке новонасталом покрету за промену. Из тог разлога, учинило се занимљивим испитати ставове средњошколаца Србије о дешавањима и утврдити колико је заступљено учешће у протестима међу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1. 1. 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Предмет и циљ истраживања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Предмет рада јесте испитивање ставова средњошколаца о протестима и њиховог учешћа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Циљ рада јесте показати у којој мери средњошколци подржавају протесте и учествују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1. 2. 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Хипотезе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  <w:t xml:space="preserve">Хипотеза 1. Постојаће висока корелација између подршке протестима и учешћа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  <w:t xml:space="preserve">2.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Метод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  <w:t xml:space="preserve">2. 1. Корпус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  <w:t xml:space="preserve">Корпус овог истраживања чине анонимни одговори на упитник од 19 питања прикупљени 2026 године. На упитник одговорило је 66 средњошколаца, из 15 округа</w:t>
      </w:r>
      <w:r>
        <w:rPr>
          <w:rStyle w:val="871"/>
          <w:rFonts w:ascii="Times New Roman" w:hAnsi="Times New Roman" w:cs="Times New Roman"/>
          <w:sz w:val="24"/>
          <w:szCs w:val="24"/>
          <w:highlight w:val="none"/>
          <w:lang w:val="sr-Cyrl-RS"/>
        </w:rPr>
        <w:footnoteReference w:id="2"/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 xml:space="preserve"> Републике Србије. Међу испитаницима присутни су ученици свих четирију разреда средње школе, припадници обају полова узраста 14—19 година. Упитник је дистрибуиран посредством друштвене мреже Инстаграм. 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  <w:t xml:space="preserve">2. 1. 1. Упитник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Коришћени упитник осмишљен је од стране аутора рада. Чине га два одељка: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демографија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Демографски одељак садржи 5 питања, а одељак о ставовима — 14. Питања у одељку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затвореног су типа, а могући одговори на свако међу њима чине Ликертову скалу (Likert, 1932: 11—20). Упитник је реализован софтверски, у виду веб-странице, која је доступна на адреси </w:t>
      </w:r>
      <w:hyperlink r:id="rId11" w:tooltip="http://veljkoidjuski.github.io/anketaSociologija" w:history="1">
        <w:r>
          <w:rPr>
            <w:rStyle w:val="868"/>
            <w:rFonts w:ascii="Times New Roman" w:hAnsi="Times New Roman" w:cs="Times New Roman"/>
            <w:i w:val="0"/>
            <w:iCs w:val="0"/>
            <w:spacing w:val="0"/>
            <w:sz w:val="24"/>
            <w:szCs w:val="24"/>
            <w:highlight w:val="none"/>
            <w:lang w:val="sr-Cyrl-RS"/>
          </w:rPr>
          <w:t xml:space="preserve">veljkoidjuski.github.io/anketaSociologija </w:t>
        </w:r>
      </w:hyperlink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А) 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Демографија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Питања: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(1. 1) Старост? (14—19)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— (1. 2) Разред? (1—4)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3) Пол? (мушки/женски)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4) Округ?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5) Школа — подручје рада?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Б) 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овом одељку пред испитанике стављено је 14 изјава. Од испитаника тражило се да обележе за сваку изјаву оно поље које најбоље осликава меру у којој се слажу с њом. За сваку од изјава, понуђена поља била су следећа: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 слажем се уопште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(-2),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 слажем се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(-1),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немам мишљење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(0),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слажем се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(1),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слажем се у потпуности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(2).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Изјаве: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Довољно сам зрео да расправљам о темама везаним за уређење друштва.</w:t>
        <w:tab/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(2. 2)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Обичан грађанин не треба се замарати питањима уређења друштва, то никако није његова дужност нити брига; као обичног грађанина, никако ме се не тиче то ко и на који начин управља мојом земљом.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(2. 3)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Борба за праведно уређење друштва морална је дужност сваког грађанина.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(2. 4)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Актуелни покрет за промену прави је пример тријумфа моралних и демократских вредности у друштву Републике Србије.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(2. 5)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Актуелни покрет за промену у ствари јесте пример макијавелистичке, немилосрдне борбе за власт препуне лажи, превара и уцена само ради стицања моћи.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(2. 6)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Неразумно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је прикључити се тренутној борби за промену јер су циљеви и једне и друге стране неморални.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(2. 7)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Неразумно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је прикључити се тренутној борби за промену јер је то рад о глави Србије и Срба.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(2. 8)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Сваки савестан и политички освешћен грађанин требало би да се прикључи актуелном покрету јер тренутно уређење друштва евидентно угрожава квалитет живота.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(2. 9)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Иза актуелног покрета стоји игра и новац злонамерних великих сила.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(2. 10)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Активни сам учесник протестног покрета.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(2. 11)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Сматрам себе премладим за учешће у актуелном протестном покрету.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(2. 12)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Активно радим на промоцији протестних дешавања, путем друштвених мрежа, разговора с познаницима, дебатирања...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(2. 13)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Био бих спреман да се ангажујем и помажем у самој организацији протеста. (одговори потврдно и уколико би се ангажовао само у случају да си старији него тренутно)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(2. 14)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Подржавао бих/подржавам/подржавао сам блокаду своје школе као вид грађанске непослушности у циљу подршке простестном покрету.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Обрада података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1. Отклањање шума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При прикупљању података увек постоји неки шум. Тај шум у оваквим скуповима података може за узрок имати: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обележавање поља различитог од жељеног грешком,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непажљиво читање питања,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насумично одговарање на питања,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збуњујућа формулација питања.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Како би обрада података имала што квалитетније резултате, неутрализује се шум о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тклањањем узрока. Томе може помоћи логичка спрега између питања — нпр. ако су изјаве А и Б узајамно искључиве, а испитаник означи да се слаже са обема, зна се да је или испитаник насумично попунио анкету, или неисправно протумачио изјаву А и/или изјаву Б.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Контролну функцију врше питања (2. 6), (2. 7) и (2. 8). Слагање с било којом од изјава (2. 6) и (2. 7) искључује слагање с изјавом (2. 8),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vice versa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Несл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агање с било којом од тих изјава, с друге стране, не искључује неслагање с било којом другом. Претпоставља се да је испитаник насумично попунио анкету уколико се слаже с изјавом (2. 8) и неком од изјава (2. 6) и (2. 7), и његов одговор се не узима у обзир.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Проверав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ају се и друге узајамно искључиве изјаве. Ако се уочи пречеста појава одговора који се супростстављају узајамној искључивости двају изјава, то имплицира да би нека од тих изјава могла бити збуњујуће формулисана, и та се изјава искључује из корпуса.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2. Метрике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Дефинишемо три метрике које ће бити од користи у обради резултата: индекс перципиране зрелости, индекс подршке протестима и индекс учешћа у протестима.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перципиране зрелости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неког испитаника дат је просеком одговора тог испитаника на питања (2. 1) и (2. 11). Валидност дефиниције метрике испитује се Кронбаховим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коефицијентом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α (Cronbach, 1951: 299) за колоне (2. 1) и (2. 11). Одговори из колоне (2. 11) узимају се с негативним предзнаком.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подршке протестима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неког испитаника дат је усредњеном алгебарском сумом одговора тог испитаника на питања (2. 2), (2. 3), (2. 4), (2. 6), (2. 7), (2. 8) и (2. 9), при чему се одговори на питања (2. 2), (2. 6), (2. 7) i (2. 9) узимају с негативним предзнаком.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keepLines w:val="false"/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учешћа у протестима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</w:t>
      </w:r>
      <w:r>
        <w:rPr>
          <w:highlight w:val="none"/>
          <w:lang w:val="sr-Cyrl-R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неког испитаника дат је његовим просечним одговором на питања (2. 10), (2. 12), (2. 13) и (2. 14).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r>
    </w:p>
    <w:p>
      <w:pPr>
        <w:keepLines w:val="false"/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Валидност употребе сваке метрике испитује се Кронбаховим коефицијентом α над колонама које та метрика узима у обзир. Висока вредност α упућује на јаку корелацију међу колонама.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  <w:t xml:space="preserve">Кронбахов коефицијент α користи се и за евалуацију корелације перцепције зрелости, подршке протестима и учешћа у њима.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3. Резултати 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1. дати су одговори испитаника.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Табела 3. 1.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Одговори испитаника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20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19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18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17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16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15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14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13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10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9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8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7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6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5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4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3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Шумадијски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Сремски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Моравички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Расински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Јужнобанатски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Колубарски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Зајечарски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Зајечарски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Јужнобачки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Ликовна школа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Електротехника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Електротехника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Машинство и обр. метала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suppressLineNumbers w:val="false"/>
        <w:pBdr/>
        <w:spacing w:after="57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___________________________________________________________________________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Ж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Нишавски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Рашки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Јабланички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Топлички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Шумадијски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Расински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Златиборски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Пољопр, пр. и пр. хране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color w:val="000000" w:themeColor="text1"/>
                <w:sz w:val="22"/>
                <w:szCs w:val="22"/>
              </w:rPr>
            </w:r>
            <w:r>
              <w:rPr>
                <w:color w:val="000000" w:themeColor="text1"/>
                <w:sz w:val="22"/>
                <w:szCs w:val="22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suppressLineNumbers w:val="false"/>
        <w:pBdr/>
        <w:spacing w:after="57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___________________________________________________________________________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Рашки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Западнобачки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Западнобачки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Здравство и соц. заштита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Геодезија и грађевинарство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Електротехника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Електротехника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suppressLineNumbers w:val="false"/>
        <w:pBdr/>
        <w:spacing w:after="0" w:before="0"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1. Демографија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Међу испитаницима, 34 особе (51,51%) изјаснио се као мушко, а 30 особа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(45,45%)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 као женско. Преостала два испитаника није означило свој пол.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Jeдан испитаник (1,51%) узраста је 14 година, четири (6,06%) су узраста 15 година, шест (9,09%) су узраста 16 година, 18 (27,27%) су узраста 17 година, 34 (51,51%) су узраста 18 година и три (4,54%) су узраста 19 година.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Четири испитаника (6,06%) ученици су првог разреда, седам (10,60%) — другог разреда, 15 (22,72%) — трећег разреда и 39 (59,09%) — четвртог разреда.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Највећи број испитаника — 29 (43,94%) — живи у Западнобачком округу. Значајан је и број испитаника са подручја Града Београда — њих 11 (16,67%). Из Јужнобачког округа јесте седам (10,60%) испитаника, а из Златиборског — че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тири (6,06%). Са подручја Шумадијског, Зајечарског, Расинског и Рашког округа јавило се по двоје испитаника (по 3,03%), док је са подручја Сремског, Јужнобанатског, Колубарског, Нишавског, Јабланичког и Топличког округа стигао по један одговор (по 1,51%).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39 (59,09%) испитаника су гимназијалци, а преосталих 27 (40,90%) ученици су струковних школа.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2. Отклањање шума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keepLines w:val="true"/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На контролна питања (2. 6), (2. 7) и (2. 8) апсурдне одговоре дали су испитаници 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10, 23, 55 и 56 и њихови одговори не узимају се у обзир.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ab/>
        <w:t xml:space="preserve">Са обема од изјава (2. 4) и (2. 5), које су уз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ајамно искључиве, слаже се 18,18% испитаника — готово сваки пети. Како се 83,33% њих слаже и са изјавом (2. 8), која је такође супротстављена изјави (2. 5), претпоставља се да је изјава (2. 5) збуњујуће формулисана, па се одговори на њу не узимају у обзир.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Нумеричка анализа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0,69.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0,87.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0,81.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У табели 3. 3. 1. изнесен је за сваки став просечни одговор, удео оних који су се сложили са ставом (дали оцену 1 или 2) и удео оних који се нису сложили са ставом (дали оцену -1 или -2).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1.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Просечни одговори по ставовима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24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Став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Просечан одговор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Удео ЗА (%)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Удео ПРОТИВ (%)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1.21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88.71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4.84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-1.60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6.45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90.32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1.16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81.97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9.84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0.92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72.58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9.68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-1.08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6.45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70.97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-1.39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3.23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85.48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1.11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79.03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-0.65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12.90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58.06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0.50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58.06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25.81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-1.11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11.29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82.26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0.18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46.77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30.65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0.47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54.84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24.19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1.23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87.10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 w:firstLine="567"/>
        <w:contextualSpacing w:val="false"/>
        <w:jc w:val="righ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1,16.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1,13.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0,59.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3. 2. доведени су у упоредбу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за мушки и женски пол.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2.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полу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Пол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мушки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1,06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0,43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женски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1,08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0,68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3. 3. приказани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/>
          <w:iCs/>
          <w:highlight w:val="none"/>
          <w:lang w:val="sr-Cyrl-RS"/>
        </w:rPr>
        <w:t xml:space="preserve">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по старости. Резултати за узрасте 14, 15 и 19 наведени су са астериском (*) како би се назначило да због малог узорка не носе нарочиту сазнајну тежину.</w:t>
      </w:r>
      <w:r>
        <w:rPr>
          <w:rStyle w:val="871"/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footnoteReference w:id="3"/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3.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старости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Старост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*14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*1,25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*15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*1,88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*1,06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1,33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1,67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0,91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1,19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0,31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1,14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1,26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0,54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  <w:t xml:space="preserve">*19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*1,17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*0,78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4.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матураната и ученика млађих разреда.</w:t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4.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разреду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Старост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матуранти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1,03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43"/>
        </w:trPr>
        <w:tc>
          <w:tcPr>
            <w:tcBorders>
              <w:top w:val="none" w:color="000000" w:sz="8" w:space="0"/>
              <w:left w:val="none" w:color="000000" w:sz="8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млађи разреди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5.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гимназијалаца и ученика струковних школа.</w:t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5.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подручју рада школа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Подручје рада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1,34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1,39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0,78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струковна школа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0,88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0,71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0,29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6.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ученика из Западнобачког округа, Јужнобачког округа и града Београда.</w:t>
      </w:r>
      <w:r>
        <w:rPr>
          <w:rStyle w:val="871"/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footnoteReference w:id="4"/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6.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округу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Округ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0,48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Јужнобачки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1,50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0,57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Град Београд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1,27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0,64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  <w:t xml:space="preserve">Кронбахов коефицијент α за параметре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свих испитаника износи 0,77.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ab/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z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u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0,63.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z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0,58.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p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u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0,80.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Дискусија о резултатима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Кронбахови коефицијенти α за колоне које су узете у обзир за сваку од дефинисаних метрика указују на висок степен корелације и оправдавају примену дефинисаних метрика.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Просечан испитаник сматра да је прилично зрео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z =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1,16)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, подржава протесте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p =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1,13)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и повремено им присуствује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= 0,59)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Просечна средњошколска девојка види себе зрелијом него просечан средњошколски момак, што је у складу с познатим у науци, и чешћи је учесник протеста. И момак и девојка подржавају протесте.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Није уочена монотоност промене параметара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са старошћу испитаника; ипак, просечни матурант сматра себе зрелијим него млађи и радикалнији је у подршци протестима. То је у сваком случају очекивано — матурант је постао пунолетан и стекао је право гласа, па га више занима уређење државе.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Уочљиво је да гимназијалци виде себе зрелијима од ученика струковних школа. Такође, у већој мери подржавају протесте и чешће им присуствују, мада и ученици струковних школа у просеку подржавају протесте.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Ученик из Јужнобачког округа или Града Београда вероватније ће подржати и учествовати на протестима него ученик из Западнобачког округа. Прве две средине јесу округ у коме се десио повод за протесте и главни град Републике Србије, што може оправдати радикалнију подршку покрету.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Корелација између перцепције зрелости је висока. Поготово је значајна корелација између подршке протестима и учешћа у њима. Уколико средњошколац подржава протесте, вероватно и учествује у њима.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Закључак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Циљ рада — дознати шта средњошколци мисле о актуелном протестном покрету — испуњен је. Потврђена је хипотеза 1. Такође је запажен одређен степен корелације између сопствене перцепције зрелости и подршке и учешћа у протестима. Највећи број средњошколаца подржава протестне активности.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Најзанимљивије опажање јесте чињеница да је позитивнији став о протестима и чешће учешће запажено у Јужнобачком округу и на територији Града Београда него у Западнобачком округу. То у сваком случају указује на утицај средине на перцепцију тренутних догађања. Такође, интересантно је чешће учешће девојака на протестима.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 даљем истраживању било би пожељно прикупити већи корпус и урадити детаљнију сегментацију и анализу истог, како би се исцрпело више знања.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Сви добијени резултати овисе о премиси да је одабран репрезентативан узорак становништва.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center"/>
        <w:rPr>
          <w:rFonts w:ascii="Times New Roman" w:hAnsi="Times New Roman" w:eastAsia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28"/>
          <w:sz w:val="24"/>
          <w:szCs w:val="24"/>
          <w:highlight w:val="none"/>
        </w:rPr>
        <w:t xml:space="preserve">ЛИТЕРАТУРА</w:t>
      </w:r>
      <w:r>
        <w:rPr>
          <w:rFonts w:ascii="Times New Roman" w:hAnsi="Times New Roman" w:eastAsia="Times New Roman" w:cs="Times New Roman"/>
          <w:i w:val="0"/>
          <w:iCs w:val="0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Cronbach, L. (1951).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Coefficient alpha and the internal structure of tests.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Psychometrika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16 (3): 297—334.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Likert, R. (1932).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A technique for the measurement of attitudes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, Њујорк: Archives of Psychology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left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2">
    <w:p>
      <w:pPr>
        <w:pStyle w:val="869"/>
        <w:pBdr/>
        <w:spacing/>
        <w:ind/>
        <w:rPr>
          <w:rFonts w:ascii="Times New Roman" w:hAnsi="Times New Roman" w:cs="Times New Roman"/>
          <w:sz w:val="18"/>
          <w:szCs w:val="22"/>
        </w:rPr>
      </w:pPr>
      <w:r>
        <w:rPr>
          <w:rStyle w:val="871"/>
          <w:sz w:val="18"/>
          <w:szCs w:val="22"/>
        </w:rPr>
        <w:footnoteRef/>
      </w:r>
      <w:r>
        <w:rPr>
          <w:sz w:val="18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18"/>
          <w:szCs w:val="22"/>
        </w:rPr>
        <w:t xml:space="preserve">Рачунајући и Град Београд</w:t>
      </w:r>
      <w:r>
        <w:rPr>
          <w:rFonts w:ascii="Times New Roman" w:hAnsi="Times New Roman" w:cs="Times New Roman"/>
          <w:sz w:val="18"/>
          <w:szCs w:val="22"/>
        </w:rPr>
      </w:r>
      <w:r>
        <w:rPr>
          <w:rFonts w:ascii="Times New Roman" w:hAnsi="Times New Roman" w:cs="Times New Roman"/>
          <w:sz w:val="18"/>
          <w:szCs w:val="22"/>
        </w:rPr>
      </w:r>
    </w:p>
  </w:footnote>
  <w:footnote w:id="3">
    <w:p>
      <w:pPr>
        <w:pStyle w:val="869"/>
        <w:pBdr/>
        <w:spacing/>
        <w:ind/>
        <w:rPr>
          <w:rFonts w:ascii="Times New Roman" w:hAnsi="Times New Roman" w:cs="Times New Roman"/>
          <w:sz w:val="20"/>
          <w:szCs w:val="24"/>
        </w:rPr>
      </w:pPr>
      <w:r>
        <w:rPr>
          <w:rStyle w:val="871"/>
          <w:sz w:val="18"/>
          <w:szCs w:val="22"/>
        </w:rPr>
        <w:footnoteRef/>
      </w:r>
      <w:r>
        <w:rPr>
          <w:sz w:val="18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18"/>
          <w:szCs w:val="22"/>
        </w:rPr>
        <w:t xml:space="preserve">Дефинисали смо да је релевантан узорак од 6 и више испитаника.</w:t>
      </w:r>
      <w:r>
        <w:rPr>
          <w:rFonts w:ascii="Times New Roman" w:hAnsi="Times New Roman" w:cs="Times New Roman"/>
          <w:sz w:val="20"/>
          <w:szCs w:val="24"/>
        </w:rPr>
      </w:r>
      <w:r>
        <w:rPr>
          <w:rFonts w:ascii="Times New Roman" w:hAnsi="Times New Roman" w:cs="Times New Roman"/>
          <w:sz w:val="20"/>
          <w:szCs w:val="24"/>
        </w:rPr>
      </w:r>
    </w:p>
  </w:footnote>
  <w:footnote w:id="4">
    <w:p>
      <w:pPr>
        <w:pStyle w:val="869"/>
        <w:pBdr/>
        <w:spacing/>
        <w:ind/>
        <w:rPr>
          <w:rFonts w:ascii="Times New Roman" w:hAnsi="Times New Roman" w:cs="Times New Roman"/>
        </w:rPr>
      </w:pPr>
      <w:r>
        <w:rPr>
          <w:rStyle w:val="871"/>
        </w:rPr>
        <w:footnoteRef/>
      </w:r>
      <w:r>
        <w:t xml:space="preserve"> </w:t>
      </w:r>
      <w:r>
        <w:rPr>
          <w:rFonts w:ascii="Times New Roman" w:hAnsi="Times New Roman" w:eastAsia="Times New Roman" w:cs="Times New Roman"/>
        </w:rPr>
        <w:t xml:space="preserve">Остали окрузи нису посматрани због премалог узорка (5 или мање испитаника)</w:t>
      </w:r>
      <w:r/>
      <w:r>
        <w:rPr>
          <w:rFonts w:ascii="Times New Roman" w:hAnsi="Times New Roman" w:cs="Times New Roman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3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82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4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6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8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0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2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4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6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82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567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10">
    <w:name w:val="Heading 1"/>
    <w:basedOn w:val="886"/>
    <w:next w:val="886"/>
    <w:link w:val="711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711">
    <w:name w:val="Heading 1 Char"/>
    <w:link w:val="710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712">
    <w:name w:val="Heading 2"/>
    <w:basedOn w:val="886"/>
    <w:next w:val="886"/>
    <w:link w:val="713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713">
    <w:name w:val="Heading 2 Char"/>
    <w:link w:val="712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714">
    <w:name w:val="Heading 3"/>
    <w:basedOn w:val="886"/>
    <w:next w:val="886"/>
    <w:link w:val="715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715">
    <w:name w:val="Heading 3 Char"/>
    <w:link w:val="714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16">
    <w:name w:val="Heading 4"/>
    <w:basedOn w:val="886"/>
    <w:next w:val="886"/>
    <w:link w:val="717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17">
    <w:name w:val="Heading 4 Char"/>
    <w:link w:val="71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18">
    <w:name w:val="Heading 5"/>
    <w:basedOn w:val="886"/>
    <w:next w:val="886"/>
    <w:link w:val="719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19">
    <w:name w:val="Heading 5 Char"/>
    <w:link w:val="71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20">
    <w:name w:val="Heading 6"/>
    <w:basedOn w:val="886"/>
    <w:next w:val="886"/>
    <w:link w:val="721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21">
    <w:name w:val="Heading 6 Char"/>
    <w:link w:val="720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22">
    <w:name w:val="Heading 7"/>
    <w:basedOn w:val="886"/>
    <w:next w:val="886"/>
    <w:link w:val="723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23">
    <w:name w:val="Heading 7 Char"/>
    <w:link w:val="722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24">
    <w:name w:val="Heading 8"/>
    <w:basedOn w:val="886"/>
    <w:next w:val="886"/>
    <w:link w:val="725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25">
    <w:name w:val="Heading 8 Char"/>
    <w:link w:val="724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26">
    <w:name w:val="Heading 9"/>
    <w:basedOn w:val="886"/>
    <w:next w:val="886"/>
    <w:link w:val="727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27">
    <w:name w:val="Heading 9 Char"/>
    <w:link w:val="726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28">
    <w:name w:val="Title"/>
    <w:basedOn w:val="886"/>
    <w:next w:val="886"/>
    <w:link w:val="729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29">
    <w:name w:val="Title Char"/>
    <w:link w:val="728"/>
    <w:uiPriority w:val="10"/>
    <w:pPr>
      <w:pBdr/>
      <w:spacing/>
      <w:ind/>
    </w:pPr>
    <w:rPr>
      <w:sz w:val="48"/>
      <w:szCs w:val="48"/>
    </w:rPr>
  </w:style>
  <w:style w:type="paragraph" w:styleId="730">
    <w:name w:val="Subtitle"/>
    <w:basedOn w:val="886"/>
    <w:next w:val="886"/>
    <w:link w:val="731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31">
    <w:name w:val="Subtitle Char"/>
    <w:link w:val="730"/>
    <w:uiPriority w:val="11"/>
    <w:pPr>
      <w:pBdr/>
      <w:spacing/>
      <w:ind/>
    </w:pPr>
    <w:rPr>
      <w:sz w:val="24"/>
      <w:szCs w:val="24"/>
    </w:rPr>
  </w:style>
  <w:style w:type="paragraph" w:styleId="732">
    <w:name w:val="Quote"/>
    <w:basedOn w:val="886"/>
    <w:next w:val="886"/>
    <w:link w:val="733"/>
    <w:uiPriority w:val="29"/>
    <w:qFormat/>
    <w:pPr>
      <w:pBdr/>
      <w:spacing/>
      <w:ind w:right="720" w:left="720"/>
    </w:pPr>
    <w:rPr>
      <w:i/>
    </w:rPr>
  </w:style>
  <w:style w:type="character" w:styleId="733">
    <w:name w:val="Quote Char"/>
    <w:link w:val="732"/>
    <w:uiPriority w:val="29"/>
    <w:pPr>
      <w:pBdr/>
      <w:spacing/>
      <w:ind/>
    </w:pPr>
    <w:rPr>
      <w:i/>
    </w:rPr>
  </w:style>
  <w:style w:type="paragraph" w:styleId="734">
    <w:name w:val="Intense Quote"/>
    <w:basedOn w:val="886"/>
    <w:next w:val="886"/>
    <w:link w:val="735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35">
    <w:name w:val="Intense Quote Char"/>
    <w:link w:val="734"/>
    <w:uiPriority w:val="30"/>
    <w:pPr>
      <w:pBdr/>
      <w:spacing/>
      <w:ind/>
    </w:pPr>
    <w:rPr>
      <w:i/>
    </w:rPr>
  </w:style>
  <w:style w:type="paragraph" w:styleId="736">
    <w:name w:val="Header"/>
    <w:basedOn w:val="886"/>
    <w:link w:val="73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  <w:jc w:val="right"/>
    </w:pPr>
  </w:style>
  <w:style w:type="character" w:styleId="737">
    <w:name w:val="Header Char"/>
    <w:link w:val="736"/>
    <w:uiPriority w:val="99"/>
    <w:pPr>
      <w:pBdr/>
      <w:spacing/>
      <w:ind/>
    </w:pPr>
  </w:style>
  <w:style w:type="paragraph" w:styleId="738">
    <w:name w:val="Footer"/>
    <w:basedOn w:val="886"/>
    <w:link w:val="74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39">
    <w:name w:val="Footer Char"/>
    <w:link w:val="738"/>
    <w:uiPriority w:val="99"/>
    <w:pPr>
      <w:pBdr/>
      <w:spacing/>
      <w:ind/>
    </w:pPr>
  </w:style>
  <w:style w:type="paragraph" w:styleId="740">
    <w:name w:val="Caption"/>
    <w:basedOn w:val="886"/>
    <w:next w:val="886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41">
    <w:name w:val="Caption Char"/>
    <w:basedOn w:val="740"/>
    <w:link w:val="738"/>
    <w:uiPriority w:val="99"/>
    <w:pPr>
      <w:pBdr/>
      <w:spacing/>
      <w:ind/>
    </w:pPr>
  </w:style>
  <w:style w:type="table" w:styleId="742">
    <w:name w:val="Table Grid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8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69">
    <w:name w:val="footnote text"/>
    <w:basedOn w:val="886"/>
    <w:link w:val="870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70">
    <w:name w:val="Footnote Text Char"/>
    <w:link w:val="869"/>
    <w:uiPriority w:val="99"/>
    <w:pPr>
      <w:pBdr/>
      <w:spacing/>
      <w:ind/>
    </w:pPr>
    <w:rPr>
      <w:sz w:val="18"/>
    </w:rPr>
  </w:style>
  <w:style w:type="character" w:styleId="871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6"/>
    <w:link w:val="873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73">
    <w:name w:val="Endnote Text Char"/>
    <w:link w:val="872"/>
    <w:uiPriority w:val="99"/>
    <w:pPr>
      <w:pBdr/>
      <w:spacing/>
      <w:ind/>
    </w:pPr>
    <w:rPr>
      <w:sz w:val="20"/>
    </w:rPr>
  </w:style>
  <w:style w:type="character" w:styleId="87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toc 1"/>
    <w:basedOn w:val="886"/>
    <w:next w:val="886"/>
    <w:uiPriority w:val="39"/>
    <w:unhideWhenUsed/>
    <w:pPr>
      <w:pBdr/>
      <w:spacing w:after="57"/>
      <w:ind w:right="0" w:firstLine="0" w:left="0"/>
    </w:pPr>
  </w:style>
  <w:style w:type="paragraph" w:styleId="876">
    <w:name w:val="toc 2"/>
    <w:basedOn w:val="886"/>
    <w:next w:val="886"/>
    <w:uiPriority w:val="39"/>
    <w:unhideWhenUsed/>
    <w:pPr>
      <w:pBdr/>
      <w:spacing w:after="57"/>
      <w:ind w:right="0" w:firstLine="0" w:left="283"/>
    </w:pPr>
  </w:style>
  <w:style w:type="paragraph" w:styleId="877">
    <w:name w:val="toc 3"/>
    <w:basedOn w:val="886"/>
    <w:next w:val="886"/>
    <w:uiPriority w:val="39"/>
    <w:unhideWhenUsed/>
    <w:pPr>
      <w:pBdr/>
      <w:spacing w:after="57"/>
      <w:ind w:right="0" w:firstLine="0" w:left="567"/>
    </w:pPr>
  </w:style>
  <w:style w:type="paragraph" w:styleId="878">
    <w:name w:val="toc 4"/>
    <w:basedOn w:val="886"/>
    <w:next w:val="886"/>
    <w:uiPriority w:val="39"/>
    <w:unhideWhenUsed/>
    <w:pPr>
      <w:pBdr/>
      <w:spacing w:after="57"/>
      <w:ind w:right="0" w:firstLine="0" w:left="850"/>
    </w:pPr>
  </w:style>
  <w:style w:type="paragraph" w:styleId="879">
    <w:name w:val="toc 5"/>
    <w:basedOn w:val="886"/>
    <w:next w:val="886"/>
    <w:uiPriority w:val="39"/>
    <w:unhideWhenUsed/>
    <w:pPr>
      <w:pBdr/>
      <w:spacing w:after="57"/>
      <w:ind w:right="0" w:firstLine="0" w:left="1134"/>
    </w:pPr>
  </w:style>
  <w:style w:type="paragraph" w:styleId="880">
    <w:name w:val="toc 6"/>
    <w:basedOn w:val="886"/>
    <w:next w:val="886"/>
    <w:uiPriority w:val="39"/>
    <w:unhideWhenUsed/>
    <w:pPr>
      <w:pBdr/>
      <w:spacing w:after="57"/>
      <w:ind w:right="0" w:firstLine="0" w:left="1417"/>
    </w:pPr>
  </w:style>
  <w:style w:type="paragraph" w:styleId="881">
    <w:name w:val="toc 7"/>
    <w:basedOn w:val="886"/>
    <w:next w:val="886"/>
    <w:uiPriority w:val="39"/>
    <w:unhideWhenUsed/>
    <w:pPr>
      <w:pBdr/>
      <w:spacing w:after="57"/>
      <w:ind w:right="0" w:firstLine="0" w:left="1701"/>
    </w:pPr>
  </w:style>
  <w:style w:type="paragraph" w:styleId="882">
    <w:name w:val="toc 8"/>
    <w:basedOn w:val="886"/>
    <w:next w:val="886"/>
    <w:uiPriority w:val="39"/>
    <w:unhideWhenUsed/>
    <w:pPr>
      <w:pBdr/>
      <w:spacing w:after="57"/>
      <w:ind w:right="0" w:firstLine="0" w:left="1984"/>
    </w:pPr>
  </w:style>
  <w:style w:type="paragraph" w:styleId="883">
    <w:name w:val="toc 9"/>
    <w:basedOn w:val="886"/>
    <w:next w:val="886"/>
    <w:uiPriority w:val="39"/>
    <w:unhideWhenUsed/>
    <w:pPr>
      <w:pBdr/>
      <w:spacing w:after="57"/>
      <w:ind w:right="0" w:firstLine="0" w:left="2268"/>
    </w:p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91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http://veljkoidjuski.github.io/anketaSociologij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2026-02-20T23:43:21Z</dcterms:modified>
</cp:coreProperties>
</file>