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line="240" w:lineRule="auto"/>
        <w:ind/>
        <w:contextualSpacing w:val="false"/>
        <w:jc w:val="center"/>
        <w:rPr>
          <w:rFonts w:ascii="Times New Roman" w:hAnsi="Times New Roman" w:cs="Times New Roman"/>
          <w:spacing w:val="28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pacing w:val="28"/>
          <w:sz w:val="24"/>
          <w:szCs w:val="24"/>
          <w:lang w:val="sr-Cyrl-RS"/>
        </w:rPr>
        <w:t xml:space="preserve">СРЕДЊА ТЕХНИЧКА ШКОЛА</w:t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</w:p>
    <w:p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  <w:t xml:space="preserve">Сомбор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  <w:t xml:space="preserve">Вељко Иђушки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line="240" w:lineRule="auto"/>
        <w:ind/>
        <w:contextualSpacing w:val="false"/>
        <w:jc w:val="center"/>
        <w:rPr>
          <w:rFonts w:ascii="Times New Roman" w:hAnsi="Times New Roman" w:eastAsia="Times New Roman" w:cs="Times New Roman"/>
          <w:spacing w:val="28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pacing w:val="28"/>
          <w:sz w:val="32"/>
          <w:szCs w:val="32"/>
          <w:highlight w:val="none"/>
          <w:lang w:val="sr-Cyrl-RS"/>
        </w:rPr>
        <w:t xml:space="preserve">О СТАВОВИМА МЛАДИХ О ПРОТЕСТНИМ</w:t>
        <w:br/>
        <w:t xml:space="preserve">ДЕШАВАЊИМА 2024—ДАНАС И ЊИХОВОМ</w:t>
        <w:br/>
        <w:t xml:space="preserve">УЧЕШЋУ У ЊИМА</w:t>
      </w:r>
      <w:r>
        <w:rPr>
          <w:rFonts w:ascii="Times New Roman" w:hAnsi="Times New Roman" w:eastAsia="Times New Roman" w:cs="Times New Roman"/>
          <w:spacing w:val="28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pacing w:val="28"/>
          <w:sz w:val="32"/>
          <w:szCs w:val="32"/>
          <w:highlight w:val="none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</w:p>
    <w:p>
      <w:pPr>
        <w:pBdr/>
        <w:spacing w:line="240" w:lineRule="auto"/>
        <w:ind/>
        <w:jc w:val="left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sr-Cyrl-RS"/>
        </w:rPr>
      </w:pP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  <w:r>
        <w:rPr>
          <w:rFonts w:ascii="Times New Roman" w:hAnsi="Times New Roman" w:cs="Times New Roman"/>
          <w:sz w:val="28"/>
          <w:szCs w:val="28"/>
          <w:lang w:val="sr-Cyrl-RS"/>
        </w:rPr>
      </w:r>
    </w:p>
    <w:p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  <w:t xml:space="preserve">Ментор: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  <w:t xml:space="preserve">Слађана Туцаковић Бузејић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  <w:t xml:space="preserve">Сомбор, 2026.</w:t>
      </w:r>
      <w:r>
        <w:rPr>
          <w:rFonts w:ascii="Times New Roman" w:hAnsi="Times New Roman" w:cs="Times New Roman"/>
          <w:sz w:val="28"/>
          <w:szCs w:val="28"/>
          <w:lang w:val="sr-Cyrl-RS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/>
        <w:contextualSpacing w:val="false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1. </w:t>
      </w:r>
      <w:r>
        <w:rPr>
          <w:rFonts w:ascii="Times New Roman" w:hAnsi="Times New Roman" w:cs="Times New Roman"/>
          <w:spacing w:val="28"/>
          <w:sz w:val="24"/>
          <w:szCs w:val="24"/>
          <w:lang w:val="sr-Cyrl-RS"/>
        </w:rPr>
        <w:t xml:space="preserve">Увод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sr-Cyrl-RS"/>
        </w:rPr>
        <w:tab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pacing w:val="28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sr-Cyrl-RS"/>
        </w:rPr>
        <w:tab/>
        <w:t xml:space="preserve">2. </w:t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  <w:t xml:space="preserve">Метод</w:t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pacing w:val="28"/>
          <w:sz w:val="24"/>
          <w:szCs w:val="24"/>
          <w:highlight w:val="none"/>
        </w:rPr>
      </w:pP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pacing w:val="28"/>
          <w:sz w:val="24"/>
          <w:szCs w:val="24"/>
          <w:highlight w:val="none"/>
        </w:rPr>
      </w:pP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  <w:tab/>
        <w:t xml:space="preserve">2. 1. Корпус</w:t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sr-Cyrl-RS"/>
        </w:rPr>
        <w:tab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sr-Cyrl-RS"/>
        </w:rPr>
        <w:tab/>
        <w:t xml:space="preserve">Корпус овог истраживања чине анонимни одговори на упитник од 19 питања прикупљени 2026 године. На упитник одговорило је 66 средњошколаца, из 15 округа</w:t>
      </w:r>
      <w:r>
        <w:rPr>
          <w:rStyle w:val="858"/>
          <w:rFonts w:ascii="Times New Roman" w:hAnsi="Times New Roman" w:cs="Times New Roman"/>
          <w:sz w:val="24"/>
          <w:szCs w:val="24"/>
          <w:highlight w:val="none"/>
          <w:lang w:val="sr-Cyrl-RS"/>
        </w:rPr>
        <w:footnoteReference w:id="2"/>
      </w:r>
      <w:r>
        <w:rPr>
          <w:rFonts w:ascii="Times New Roman" w:hAnsi="Times New Roman" w:cs="Times New Roman"/>
          <w:sz w:val="24"/>
          <w:szCs w:val="24"/>
          <w:highlight w:val="none"/>
          <w:lang w:val="sr-Cyrl-RS"/>
        </w:rPr>
        <w:t xml:space="preserve"> Републике Србије. Међу испитаницима присутни су ученици свих четирију разреда средње школе, припадници обају полова узраста 14—19 година. Упитник је дистрибуиран посредством друштвене мреже Инстаграм.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pacing w:val="28"/>
          <w:sz w:val="24"/>
          <w:szCs w:val="24"/>
          <w:highlight w:val="none"/>
        </w:rPr>
      </w:pP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  <w:tab/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pacing w:val="28"/>
          <w:sz w:val="24"/>
          <w:szCs w:val="24"/>
          <w:highlight w:val="none"/>
        </w:rPr>
      </w:pP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  <w:tab/>
        <w:t xml:space="preserve">2. 1. 1. Упитник</w:t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spacing w:val="28"/>
          <w:sz w:val="24"/>
          <w:szCs w:val="24"/>
          <w:highlight w:val="none"/>
        </w:rPr>
      </w:pP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spacing w:val="28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spacing w:val="28"/>
          <w:sz w:val="24"/>
          <w:szCs w:val="24"/>
          <w:highlight w:val="none"/>
          <w:lang w:val="sr-Cyrl-RS"/>
        </w:rPr>
        <w:tab/>
      </w:r>
      <w:r>
        <w:rPr>
          <w:rFonts w:ascii="Times New Roman" w:hAnsi="Times New Roman" w:cs="Times New Roman"/>
          <w:spacing w:val="0"/>
          <w:sz w:val="24"/>
          <w:szCs w:val="24"/>
          <w:highlight w:val="none"/>
          <w:lang w:val="sr-Cyrl-RS"/>
        </w:rPr>
        <w:t xml:space="preserve">Коришћени упитник осмишљен је од стране аутора рада. Чине га два одељка: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демографија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и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ставови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. Демографски одељак садржи 5 питања, а одељак о ставовима — 14. Питања у одељку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ставови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 затвореног су типа, а могући одговори на свако међу њима чине Ликертову скалу (Likert, 1932: 11—20). Упитник је реализован софтверски, у виду веб-странице, која је доступна на адреси </w:t>
      </w:r>
      <w:hyperlink r:id="rId11" w:tooltip="http://veljkoidjuski.github.io/anketaSociologija" w:history="1">
        <w:r>
          <w:rPr>
            <w:rStyle w:val="855"/>
            <w:rFonts w:ascii="Times New Roman" w:hAnsi="Times New Roman" w:cs="Times New Roman"/>
            <w:i w:val="0"/>
            <w:iCs w:val="0"/>
            <w:spacing w:val="0"/>
            <w:sz w:val="24"/>
            <w:szCs w:val="24"/>
            <w:highlight w:val="none"/>
            <w:lang w:val="sr-Cyrl-RS"/>
          </w:rPr>
          <w:t xml:space="preserve">veljkoidjuski.github.io/anketaSociologija </w:t>
        </w:r>
      </w:hyperlink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. 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А) </w:t>
      </w: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  <w:t xml:space="preserve">Демографија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.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Питања: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left="709"/>
        <w:contextualSpacing w:val="false"/>
        <w:jc w:val="both"/>
        <w:rPr>
          <w:rFonts w:ascii="Times New Roman" w:hAnsi="Times New Roman" w:eastAsia="Times New Roman" w:cs="Times New Roman"/>
          <w:highlight w:val="none"/>
          <w:lang w:val="sr-Cyrl-RS"/>
          <w14:ligatures w14:val="none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— </w:t>
      </w:r>
      <w:r>
        <w:rPr>
          <w:rFonts w:ascii="Times New Roman" w:hAnsi="Times New Roman" w:eastAsia="Times New Roman" w:cs="Times New Roman"/>
          <w:highlight w:val="none"/>
          <w:lang w:val="sr-Cyrl-RS"/>
        </w:rPr>
        <w:t xml:space="preserve">(1. 1) Старост? (14—19)</w:t>
      </w:r>
      <w:r>
        <w:rPr>
          <w:rFonts w:ascii="Times New Roman" w:hAnsi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highlight w:val="none"/>
          <w:lang w:val="sr-Cyrl-RS"/>
          <w14:ligatures w14:val="none"/>
        </w:rPr>
      </w:r>
    </w:p>
    <w:p>
      <w:pPr>
        <w:suppressLineNumbers w:val="false"/>
        <w:pBdr/>
        <w:spacing w:after="0" w:before="0" w:line="360" w:lineRule="auto"/>
        <w:ind w:left="709"/>
        <w:contextualSpacing w:val="false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sr-Cyrl-RS"/>
        </w:rPr>
        <w:tab/>
        <w:t xml:space="preserve">— (1. 2) Разред? (1—4)</w:t>
      </w:r>
      <w:r>
        <w:rPr>
          <w:rFonts w:ascii="Times New Roman" w:hAnsi="Times New Roman" w:eastAsia="Times New Roman" w:cs="Times New Roman"/>
          <w:highlight w:val="none"/>
          <w:lang w:val="sr-Cyrl-RS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0"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— (1. 3) Пол? (мушки/женски)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— (1. 4) Округ?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— (1. 5) Школа — подручје рада?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Б) </w:t>
      </w: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  <w:t xml:space="preserve">Ставови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.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У овом одељку пред испитанике стављено је 14 изјава. Од испитаника тражило се да обележе за сваку изјаву оно поље које најбоље осликава меру у којој се слажу с њом. За сваку од изјава, понуђена поља била су следећа: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не слажем се уопште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(-2),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не слажем се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(-1),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немам мишљење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(0),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слажем се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(1),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слажем се у потпуности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(2).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Изјаве: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(2. 1)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Довољно сам зрео да расправљам о темама везаним за уређење друштва.</w:t>
        <w:tab/>
      </w:r>
      <w:r>
        <w:rPr>
          <w:rFonts w:ascii="Times New Roman" w:hAnsi="Times New Roman" w:cs="Times New Roman"/>
          <w:bCs w:val="0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(2. 2)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Обичан грађанин не треба се замарати питањима уређења друштва, то никако није његова дужност нити брига; као обичног грађанина, никако ме се не тиче то ко и на који начин управља мојом земљом. </w:t>
      </w:r>
      <w:r>
        <w:rPr>
          <w:i/>
          <w:iCs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(2. 3)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Борба за праведно уређење друштва морална је дужност сваког грађанина.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(2. 4)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Актуелни покрет за промену прави је пример тријумфа моралних и демократских вредности у друштву Републике Србије.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(2. 5)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Актуелни покрет за промену у ствари јесте пример макијавелистичке, немилосрдне борбе за власт препуне лажи, превара и уцена само ради стицања моћи. </w:t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(2. 6)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Неразумно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је прикључити се тренутној борби за промену јер су циљеви и једне и друге стране неморални.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(2. 7)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Неразумно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је прикључити се тренутној борби за промену јер је то рад о глави Србије и Срба.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(2. 8)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 Сваки савестан и политички освешћен грађанин требало би да се прикључи актуелном покрету јер тренутно уређење друштва евидентно угрожава квалитет живота.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(2. 9)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 Иза актуелног покрета стоји игра и новац злонамерних великих сила.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(2. 10)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Активни сам учесник протестног покрета.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(2. 11)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Сматрам себе премладим за учешће у актуелном протестном покрету.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(2. 12)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Активно радим на промоцији протестних дешавања, путем друштвених мрежа, разговора с познаницима, дебатирања...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(2. 13)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Био бих спреман да се ангажујем и помажем у самој организацији протеста. (одговори потврдно и уколико би се ангажовао само у случају да си старији него тренутно)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425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—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(2. 14)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Подржавао бих/подржавам/подржавао сам блокаду своје школе као вид грађанске непослушности у циљу подршке простестном покрету.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 </w:t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709"/>
        <w:contextualSpacing w:val="false"/>
        <w:jc w:val="both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  <w:t xml:space="preserve">2. 2. Обрада података</w:t>
      </w: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  <w:t xml:space="preserve">2. 2. 1. Отклањање шума</w:t>
      </w: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При прикупљању података увек постоји неки шум. Тај шум у оваквим скуповима података може за узрок имати: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обележавање поља различитог од жељеног грешком,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непажљиво читање питања,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насумично одговарање на питања,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— збуњујућа формулација питања.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Како би обрада података имала што квалитетније резултате, неутрализује се шум о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тклањањем узрока. Томе може помоћи логичка спрега између питања — нпр. ако су изјаве А и Б узајамно искључиве, а испитаник означи да се слаже са обема, зна се да је или испитаник насумично попунио анкету, или неисправно протумачио изјаву А и/или изјаву Б.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Контролну функцију врше питања (2. 6), (2. 7) и (2. 8). Слагање с било којом од изјава (2. 6) и (2. 7) искључује слагање с изјавом (2. 8), 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и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vice versa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. Несл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агање с било којом од тих изјава, с друге стране, не искључује неслагање с било којом другом. Претпоставља се да је испитаник насумично попунио анкету уколико се слаже с изјавом (2. 8) и неком од изјава (2. 6) и (2. 7), и његов одговор се не узима у обзир.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Проверав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ају се и друге узајамно искључиве изјаве. Ако се уочи пречеста појава одговора који се супростстављају узајамној искључивости двају изјава, то имплицира да би нека од тих изјава могла бити збуњујуће формулисана, и та изјава искључује се из обраде података.</w:t>
      </w: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28"/>
          <w:sz w:val="24"/>
          <w:szCs w:val="24"/>
          <w:highlight w:val="none"/>
          <w:lang w:val="sr-Cyrl-RS"/>
        </w:rPr>
        <w:t xml:space="preserve">3. Резултати </w:t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567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</w:rPr>
      </w:pP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28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 w:firstLine="0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ab/>
        <w:t xml:space="preserve">У табели 3. 1. дати су одговори испитаника. 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0"/>
        <w:contextualSpacing w:val="false"/>
        <w:jc w:val="both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60" w:lineRule="auto"/>
        <w:ind w:firstLine="0" w:left="0"/>
        <w:contextualSpacing w:val="false"/>
        <w:jc w:val="center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i w:val="0"/>
          <w:iCs w:val="0"/>
          <w:spacing w:val="0"/>
          <w:sz w:val="24"/>
          <w:szCs w:val="24"/>
          <w:highlight w:val="none"/>
          <w:lang w:val="sr-Cyrl-RS"/>
        </w:rPr>
        <w:t xml:space="preserve">Табела 3. 1. 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Одговори испитаника</w:t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after="0" w:before="0" w:line="360" w:lineRule="auto"/>
        <w:ind w:firstLine="0" w:left="0"/>
        <w:contextualSpacing w:val="false"/>
        <w:jc w:val="center"/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 w:val="0"/>
          <w:i w:val="0"/>
          <w:spacing w:val="0"/>
          <w:sz w:val="24"/>
          <w:szCs w:val="24"/>
          <w:highlight w:val="none"/>
          <w:lang w:val="sr-Cyrl-RS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бр.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1. 1</w:t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1. 2.</w:t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1. 3.</w:t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1373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Шумадијски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Сремски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Град Београд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Моравички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Град Београд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Расински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Јужнобанатски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Колубарски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Зајечарски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Зајечарски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Град Београд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Град Београд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Јужнобачки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Западнобачки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firstLine="0" w:left="0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1. 4.</w:t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iCs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2409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Здравство и соц. заштита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Ликовна школа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Електротехника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Здравство и соц. заштита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Електротехника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Машинство и обр. метала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Гимназија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Здравство и соц. заштита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1. 5.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2. 1. 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2. 2.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2. 3.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2. 4.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2. 5.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2. 6.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2. 7.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2. 8.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2. 9.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2. 10.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2. 11.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2. 12.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2. 13.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2. 14.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</w:tbl>
    <w:p>
      <w:pPr>
        <w:suppressLineNumbers w:val="false"/>
        <w:pBdr/>
        <w:spacing w:after="57" w:before="0" w:line="360" w:lineRule="auto"/>
        <w:ind w:firstLine="0" w:left="0"/>
        <w:contextualSpacing w:val="false"/>
        <w:jc w:val="center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___________________________________________________________________________</w:t>
      </w: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бр.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1. 1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1. 2.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Ж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1. 3.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1373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Град Београд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Нишавски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Рашки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Јабланички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Златиборски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Јужнобачки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Топлички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Шумадијски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Расински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Град Београд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Јужнобачки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Јужнобачки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Град Београд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Златиборски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Златиборски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firstLine="0" w:left="0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1. 4.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2409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Пољопр, пр. и пр. хране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Здравство и соц. заштита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Гимназија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2"/>
                <w:u w:val="none"/>
                <w:vertAlign w:val="baseline"/>
              </w:rPr>
              <w:t xml:space="preserve">Здравство и соц. заштита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szCs w:val="22"/>
                <w:u w:val="none"/>
                <w:vertAlign w:val="baseline"/>
              </w:rPr>
              <w:t xml:space="preserve">Здравство и соц. заштита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1. 5.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2. 1. 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2. 2.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2. 3.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2. 4.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2. 5.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2. 6.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2. 7.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2. 8.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2. 9.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2. 10.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2. 11.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2. 12.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2. 13.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2. 14.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</w:tbl>
    <w:p>
      <w:pPr>
        <w:suppressLineNumbers w:val="false"/>
        <w:pBdr/>
        <w:spacing w:after="57" w:before="0" w:line="360" w:lineRule="auto"/>
        <w:ind w:firstLine="0" w:left="0"/>
        <w:contextualSpacing w:val="false"/>
        <w:jc w:val="center"/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iCs/>
          <w:spacing w:val="0"/>
          <w:sz w:val="24"/>
          <w:szCs w:val="24"/>
          <w:highlight w:val="none"/>
          <w:lang w:val="sr-Cyrl-RS"/>
        </w:rPr>
        <w:t xml:space="preserve">___________________________________________________________________________</w:t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i/>
          <w:spacing w:val="0"/>
          <w:sz w:val="24"/>
          <w:szCs w:val="24"/>
          <w:highlight w:val="none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бр.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1. 1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1. 2.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690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M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M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1. 3.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1373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Рашки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Златиборски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Град Београд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Јужнобачки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Град Београд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Јужнобачки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Град Београд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Јужнобачки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Западнобачки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Западнобачки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Град Београд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Западнобачки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firstLine="0" w:left="0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1. 4.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2409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Гимназија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Здравство и соц. заштита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Гимназија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Гимназија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Гимназија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Гимназија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Геодезија и грађевинарство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Електротехника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Електротехника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Гимназија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Електротехника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1. 5.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2. 1. 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2. 2.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2. 3.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2. 4.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2. 5.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2. 6.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2. 7.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2. 8.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2. 9.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2. 10.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2. 11.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2. 12.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-1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2. 13.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  <w:tr>
        <w:trPr>
          <w:trHeight w:val="736"/>
        </w:trPr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-2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 w:themeColor="text1"/>
                <w:sz w:val="20"/>
                <w:u w:val="none"/>
                <w:vertAlign w:val="baseline"/>
              </w:rPr>
              <w:t xml:space="preserve">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8" w:space="0"/>
              <w:left w:val="single" w:color="000000" w:themeColor="text1" w:sz="8" w:space="0"/>
              <w:bottom w:val="none" w:color="000000" w:sz="8" w:space="0"/>
              <w:right w:val="single" w:color="000000" w:themeColor="text1" w:sz="8" w:space="0"/>
            </w:tcBorders>
            <w:tcW w:w="394" w:type="dxa"/>
            <w:vAlign w:val="center"/>
            <w:textDirection w:val="tbRl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right="113" w:left="113"/>
              <w:contextualSpacing w:val="false"/>
              <w:jc w:val="right"/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spacing w:val="0"/>
                <w:sz w:val="20"/>
                <w:szCs w:val="20"/>
                <w:highlight w:val="none"/>
                <w:lang w:val="sr-Cyrl-RS"/>
              </w:rPr>
              <w:t xml:space="preserve">2. 14.</w:t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spacing w:val="0"/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suppressLineNumbers w:val="false"/>
        <w:pBdr/>
        <w:spacing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spacing w:val="28"/>
          <w:sz w:val="24"/>
          <w:szCs w:val="24"/>
          <w:highlight w:val="none"/>
          <w:lang w:val="sr-Cyrl-R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  <w:tab/>
      </w:r>
      <w:r>
        <w:rPr>
          <w:rFonts w:ascii="Times New Roman" w:hAnsi="Times New Roman" w:eastAsia="Times New Roman" w:cs="Times New Roman"/>
          <w:spacing w:val="28"/>
          <w:sz w:val="24"/>
          <w:szCs w:val="24"/>
          <w:highlight w:val="none"/>
          <w:lang w:val="sr-Cyrl-RS"/>
        </w:rPr>
        <w:t xml:space="preserve">3. 1. Отклањање шума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  <w:r>
        <w:rPr>
          <w:rFonts w:ascii="Times New Roman" w:hAnsi="Times New Roman" w:eastAsia="Times New Roman" w:cs="Times New Roman"/>
          <w:spacing w:val="28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line="240" w:lineRule="auto"/>
        <w:ind/>
        <w:contextualSpacing w:val="false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sr-Cyrl-RS"/>
        </w:rPr>
      </w:r>
    </w:p>
    <w:p>
      <w:pPr>
        <w:keepLines w:val="true"/>
        <w:suppressLineNumbers w:val="false"/>
        <w:pBdr/>
        <w:spacing w:after="0" w:before="0" w:line="360" w:lineRule="auto"/>
        <w:ind/>
        <w:contextualSpacing w:val="false"/>
        <w:jc w:val="left"/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  <w:lang w:val="sr-Cyrl-RS"/>
        </w:rPr>
      </w:pPr>
      <w:r>
        <w:rPr>
          <w:rFonts w:ascii="Times New Roman" w:hAnsi="Times New Roman" w:eastAsia="Times New Roman" w:cs="Times New Roman"/>
          <w:spacing w:val="28"/>
          <w:sz w:val="24"/>
          <w:szCs w:val="24"/>
          <w:highlight w:val="none"/>
          <w:lang w:val="sr-Cyrl-RS"/>
        </w:rPr>
        <w:tab/>
      </w: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  <w:lang w:val="sr-Cyrl-RS"/>
        </w:rPr>
        <w:t xml:space="preserve">На контролна питања (2. 6), (2. 7) и (2. 8) апсурдне одговоре дали су испитаници </w:t>
      </w: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  <w:lang w:val="sr-Cyrl-RS"/>
        </w:rPr>
        <w:t xml:space="preserve">10, 23, 55 и 56 и њихови одговори не узимају се у обзир.</w:t>
      </w: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  <w:lang w:val="sr-Cyrl-RS"/>
        </w:rPr>
      </w:r>
    </w:p>
    <w:p>
      <w:pPr>
        <w:suppressLineNumbers w:val="false"/>
        <w:pBdr/>
        <w:spacing w:line="360" w:lineRule="auto"/>
        <w:ind/>
        <w:contextualSpacing w:val="false"/>
        <w:jc w:val="left"/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  <w:lang w:val="sr-Cyrl-RS"/>
        </w:rPr>
        <w:tab/>
        <w:t xml:space="preserve">Са обема од изјава (2. 4) и (2. 5), које су уз</w:t>
      </w: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  <w:lang w:val="sr-Cyrl-RS"/>
        </w:rPr>
        <w:t xml:space="preserve">ајамно искључиве, слаже се 18,18% испитаника — готово сваки пети. Како се 83,33% њих слаже и са изјавом (2. 8), која је такође супротстављена изјави (2. 5), претпоставља се да је изјава (2. 5) збуњујуће формулисана, па се одговори на њу не узимају у обзир.</w:t>
      </w: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  <w:lang w:val="sr-Cyrl-RS"/>
        </w:rPr>
      </w:r>
      <w:r>
        <w:rPr>
          <w:rFonts w:ascii="Times New Roman" w:hAnsi="Times New Roman" w:eastAsia="Times New Roman" w:cs="Times New Roman"/>
          <w:spacing w:val="0"/>
          <w:sz w:val="24"/>
          <w:szCs w:val="24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856"/>
        <w:pBdr/>
        <w:spacing/>
        <w:ind/>
        <w:rPr>
          <w:rFonts w:ascii="Times New Roman" w:hAnsi="Times New Roman" w:cs="Times New Roman"/>
        </w:rPr>
      </w:pPr>
      <w:r>
        <w:rPr>
          <w:rStyle w:val="858"/>
        </w:rPr>
        <w:footnoteRef/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Рачунајући и Град Београд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82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4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6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82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67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7">
    <w:name w:val="Heading 1"/>
    <w:basedOn w:val="873"/>
    <w:next w:val="873"/>
    <w:link w:val="698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98">
    <w:name w:val="Heading 1 Char"/>
    <w:link w:val="69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99">
    <w:name w:val="Heading 2"/>
    <w:basedOn w:val="873"/>
    <w:next w:val="873"/>
    <w:link w:val="700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00">
    <w:name w:val="Heading 2 Char"/>
    <w:link w:val="699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01">
    <w:name w:val="Heading 3"/>
    <w:basedOn w:val="873"/>
    <w:next w:val="873"/>
    <w:link w:val="702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02">
    <w:name w:val="Heading 3 Char"/>
    <w:link w:val="70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3">
    <w:name w:val="Heading 4"/>
    <w:basedOn w:val="873"/>
    <w:next w:val="873"/>
    <w:link w:val="70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4">
    <w:name w:val="Heading 4 Char"/>
    <w:link w:val="70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5">
    <w:name w:val="Heading 5"/>
    <w:basedOn w:val="873"/>
    <w:next w:val="873"/>
    <w:link w:val="70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6">
    <w:name w:val="Heading 5 Char"/>
    <w:link w:val="70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07">
    <w:name w:val="Heading 6"/>
    <w:basedOn w:val="873"/>
    <w:next w:val="873"/>
    <w:link w:val="70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8">
    <w:name w:val="Heading 6 Char"/>
    <w:link w:val="70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09">
    <w:name w:val="Heading 7"/>
    <w:basedOn w:val="873"/>
    <w:next w:val="873"/>
    <w:link w:val="71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0">
    <w:name w:val="Heading 7 Char"/>
    <w:link w:val="70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11">
    <w:name w:val="Heading 8"/>
    <w:basedOn w:val="873"/>
    <w:next w:val="873"/>
    <w:link w:val="71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2">
    <w:name w:val="Heading 8 Char"/>
    <w:link w:val="71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3">
    <w:name w:val="Heading 9"/>
    <w:basedOn w:val="873"/>
    <w:next w:val="873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4">
    <w:name w:val="Heading 9 Char"/>
    <w:link w:val="71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5">
    <w:name w:val="Title"/>
    <w:basedOn w:val="873"/>
    <w:next w:val="873"/>
    <w:link w:val="71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16">
    <w:name w:val="Title Char"/>
    <w:link w:val="715"/>
    <w:uiPriority w:val="10"/>
    <w:pPr>
      <w:pBdr/>
      <w:spacing/>
      <w:ind/>
    </w:pPr>
    <w:rPr>
      <w:sz w:val="48"/>
      <w:szCs w:val="48"/>
    </w:rPr>
  </w:style>
  <w:style w:type="paragraph" w:styleId="717">
    <w:name w:val="Subtitle"/>
    <w:basedOn w:val="873"/>
    <w:next w:val="873"/>
    <w:link w:val="718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18">
    <w:name w:val="Subtitle Char"/>
    <w:link w:val="717"/>
    <w:uiPriority w:val="11"/>
    <w:pPr>
      <w:pBdr/>
      <w:spacing/>
      <w:ind/>
    </w:pPr>
    <w:rPr>
      <w:sz w:val="24"/>
      <w:szCs w:val="24"/>
    </w:rPr>
  </w:style>
  <w:style w:type="paragraph" w:styleId="719">
    <w:name w:val="Quote"/>
    <w:basedOn w:val="873"/>
    <w:next w:val="873"/>
    <w:link w:val="720"/>
    <w:uiPriority w:val="29"/>
    <w:qFormat/>
    <w:pPr>
      <w:pBdr/>
      <w:spacing/>
      <w:ind w:right="720" w:left="720"/>
    </w:pPr>
    <w:rPr>
      <w:i/>
    </w:rPr>
  </w:style>
  <w:style w:type="character" w:styleId="720">
    <w:name w:val="Quote Char"/>
    <w:link w:val="719"/>
    <w:uiPriority w:val="29"/>
    <w:pPr>
      <w:pBdr/>
      <w:spacing/>
      <w:ind/>
    </w:pPr>
    <w:rPr>
      <w:i/>
    </w:rPr>
  </w:style>
  <w:style w:type="paragraph" w:styleId="721">
    <w:name w:val="Intense Quote"/>
    <w:basedOn w:val="873"/>
    <w:next w:val="873"/>
    <w:link w:val="72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2">
    <w:name w:val="Intense Quote Char"/>
    <w:link w:val="721"/>
    <w:uiPriority w:val="30"/>
    <w:pPr>
      <w:pBdr/>
      <w:spacing/>
      <w:ind/>
    </w:pPr>
    <w:rPr>
      <w:i/>
    </w:rPr>
  </w:style>
  <w:style w:type="paragraph" w:styleId="723">
    <w:name w:val="Header"/>
    <w:basedOn w:val="873"/>
    <w:link w:val="72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  <w:jc w:val="right"/>
    </w:pPr>
  </w:style>
  <w:style w:type="character" w:styleId="724">
    <w:name w:val="Header Char"/>
    <w:link w:val="723"/>
    <w:uiPriority w:val="99"/>
    <w:pPr>
      <w:pBdr/>
      <w:spacing/>
      <w:ind/>
    </w:pPr>
  </w:style>
  <w:style w:type="paragraph" w:styleId="725">
    <w:name w:val="Footer"/>
    <w:basedOn w:val="873"/>
    <w:link w:val="728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6">
    <w:name w:val="Footer Char"/>
    <w:link w:val="725"/>
    <w:uiPriority w:val="99"/>
    <w:pPr>
      <w:pBdr/>
      <w:spacing/>
      <w:ind/>
    </w:pPr>
  </w:style>
  <w:style w:type="paragraph" w:styleId="727">
    <w:name w:val="Caption"/>
    <w:basedOn w:val="873"/>
    <w:next w:val="87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28">
    <w:name w:val="Caption Char"/>
    <w:basedOn w:val="727"/>
    <w:link w:val="725"/>
    <w:uiPriority w:val="99"/>
    <w:pPr>
      <w:pBdr/>
      <w:spacing/>
      <w:ind/>
    </w:pPr>
  </w:style>
  <w:style w:type="table" w:styleId="729">
    <w:name w:val="Table Grid"/>
    <w:basedOn w:val="87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8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8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8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5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56">
    <w:name w:val="footnote text"/>
    <w:basedOn w:val="873"/>
    <w:link w:val="85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57">
    <w:name w:val="Footnote Text Char"/>
    <w:link w:val="856"/>
    <w:uiPriority w:val="99"/>
    <w:pPr>
      <w:pBdr/>
      <w:spacing/>
      <w:ind/>
    </w:pPr>
    <w:rPr>
      <w:sz w:val="18"/>
    </w:rPr>
  </w:style>
  <w:style w:type="character" w:styleId="858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3"/>
    <w:link w:val="86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0">
    <w:name w:val="Endnote Text Char"/>
    <w:link w:val="859"/>
    <w:uiPriority w:val="99"/>
    <w:pPr>
      <w:pBdr/>
      <w:spacing/>
      <w:ind/>
    </w:pPr>
    <w:rPr>
      <w:sz w:val="20"/>
    </w:rPr>
  </w:style>
  <w:style w:type="character" w:styleId="86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62">
    <w:name w:val="toc 1"/>
    <w:basedOn w:val="873"/>
    <w:next w:val="873"/>
    <w:uiPriority w:val="39"/>
    <w:unhideWhenUsed/>
    <w:pPr>
      <w:pBdr/>
      <w:spacing w:after="57"/>
      <w:ind w:right="0" w:firstLine="0" w:left="0"/>
    </w:pPr>
  </w:style>
  <w:style w:type="paragraph" w:styleId="863">
    <w:name w:val="toc 2"/>
    <w:basedOn w:val="873"/>
    <w:next w:val="873"/>
    <w:uiPriority w:val="39"/>
    <w:unhideWhenUsed/>
    <w:pPr>
      <w:pBdr/>
      <w:spacing w:after="57"/>
      <w:ind w:right="0" w:firstLine="0" w:left="283"/>
    </w:pPr>
  </w:style>
  <w:style w:type="paragraph" w:styleId="864">
    <w:name w:val="toc 3"/>
    <w:basedOn w:val="873"/>
    <w:next w:val="873"/>
    <w:uiPriority w:val="39"/>
    <w:unhideWhenUsed/>
    <w:pPr>
      <w:pBdr/>
      <w:spacing w:after="57"/>
      <w:ind w:right="0" w:firstLine="0" w:left="567"/>
    </w:pPr>
  </w:style>
  <w:style w:type="paragraph" w:styleId="865">
    <w:name w:val="toc 4"/>
    <w:basedOn w:val="873"/>
    <w:next w:val="873"/>
    <w:uiPriority w:val="39"/>
    <w:unhideWhenUsed/>
    <w:pPr>
      <w:pBdr/>
      <w:spacing w:after="57"/>
      <w:ind w:right="0" w:firstLine="0" w:left="850"/>
    </w:pPr>
  </w:style>
  <w:style w:type="paragraph" w:styleId="866">
    <w:name w:val="toc 5"/>
    <w:basedOn w:val="873"/>
    <w:next w:val="873"/>
    <w:uiPriority w:val="39"/>
    <w:unhideWhenUsed/>
    <w:pPr>
      <w:pBdr/>
      <w:spacing w:after="57"/>
      <w:ind w:right="0" w:firstLine="0" w:left="1134"/>
    </w:pPr>
  </w:style>
  <w:style w:type="paragraph" w:styleId="867">
    <w:name w:val="toc 6"/>
    <w:basedOn w:val="873"/>
    <w:next w:val="873"/>
    <w:uiPriority w:val="39"/>
    <w:unhideWhenUsed/>
    <w:pPr>
      <w:pBdr/>
      <w:spacing w:after="57"/>
      <w:ind w:right="0" w:firstLine="0" w:left="1417"/>
    </w:pPr>
  </w:style>
  <w:style w:type="paragraph" w:styleId="868">
    <w:name w:val="toc 7"/>
    <w:basedOn w:val="873"/>
    <w:next w:val="873"/>
    <w:uiPriority w:val="39"/>
    <w:unhideWhenUsed/>
    <w:pPr>
      <w:pBdr/>
      <w:spacing w:after="57"/>
      <w:ind w:right="0" w:firstLine="0" w:left="1701"/>
    </w:pPr>
  </w:style>
  <w:style w:type="paragraph" w:styleId="869">
    <w:name w:val="toc 8"/>
    <w:basedOn w:val="873"/>
    <w:next w:val="873"/>
    <w:uiPriority w:val="39"/>
    <w:unhideWhenUsed/>
    <w:pPr>
      <w:pBdr/>
      <w:spacing w:after="57"/>
      <w:ind w:right="0" w:firstLine="0" w:left="1984"/>
    </w:pPr>
  </w:style>
  <w:style w:type="paragraph" w:styleId="870">
    <w:name w:val="toc 9"/>
    <w:basedOn w:val="873"/>
    <w:next w:val="873"/>
    <w:uiPriority w:val="39"/>
    <w:unhideWhenUsed/>
    <w:pPr>
      <w:pBdr/>
      <w:spacing w:after="57"/>
      <w:ind w:right="0" w:firstLine="0" w:left="2268"/>
    </w:pPr>
  </w:style>
  <w:style w:type="paragraph" w:styleId="871">
    <w:name w:val="TOC Heading"/>
    <w:uiPriority w:val="39"/>
    <w:unhideWhenUsed/>
    <w:pPr>
      <w:pBdr/>
      <w:spacing/>
      <w:ind/>
    </w:pPr>
  </w:style>
  <w:style w:type="paragraph" w:styleId="872">
    <w:name w:val="table of figures"/>
    <w:basedOn w:val="873"/>
    <w:next w:val="873"/>
    <w:uiPriority w:val="99"/>
    <w:unhideWhenUsed/>
    <w:pPr>
      <w:pBdr/>
      <w:spacing w:after="0" w:afterAutospacing="0"/>
      <w:ind/>
    </w:pPr>
  </w:style>
  <w:style w:type="paragraph" w:styleId="873" w:default="1">
    <w:name w:val="Normal"/>
    <w:qFormat/>
    <w:pPr>
      <w:pBdr/>
      <w:spacing/>
      <w:ind/>
    </w:pPr>
  </w:style>
  <w:style w:type="table" w:styleId="87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5" w:default="1">
    <w:name w:val="No List"/>
    <w:uiPriority w:val="99"/>
    <w:semiHidden/>
    <w:unhideWhenUsed/>
    <w:pPr>
      <w:pBdr/>
      <w:spacing/>
      <w:ind/>
    </w:pPr>
  </w:style>
  <w:style w:type="paragraph" w:styleId="876">
    <w:name w:val="No Spacing"/>
    <w:basedOn w:val="873"/>
    <w:uiPriority w:val="1"/>
    <w:qFormat/>
    <w:pPr>
      <w:pBdr/>
      <w:spacing w:after="0" w:line="240" w:lineRule="auto"/>
      <w:ind/>
    </w:pPr>
  </w:style>
  <w:style w:type="paragraph" w:styleId="877">
    <w:name w:val="List Paragraph"/>
    <w:basedOn w:val="873"/>
    <w:uiPriority w:val="34"/>
    <w:qFormat/>
    <w:pPr>
      <w:pBdr/>
      <w:spacing/>
      <w:ind w:left="720"/>
      <w:contextualSpacing w:val="true"/>
    </w:p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://veljkoidjuski.github.io/anketaSociologij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2026-02-15T22:45:02Z</dcterms:modified>
</cp:coreProperties>
</file>