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A07840"/>
          <w:sz w:val="56"/>
        </w:rPr>
        <w:t>FINWISE</w:t>
      </w:r>
    </w:p>
    <w:p>
      <w:pPr>
        <w:jc w:val="center"/>
      </w:pPr>
      <w:r>
        <w:rPr>
          <w:rFonts w:ascii="Aptos Display" w:hAnsi="Aptos Display"/>
          <w:b/>
          <w:color w:val="1C1A17"/>
          <w:sz w:val="40"/>
        </w:rPr>
        <w:t>Architecture, Build, AI, Auth, and Deployment Guide</w:t>
      </w:r>
    </w:p>
    <w:p>
      <w:pPr>
        <w:jc w:val="center"/>
      </w:pPr>
      <w:r>
        <w:rPr>
          <w:color w:val="6B6560"/>
          <w:sz w:val="24"/>
        </w:rPr>
        <w:t>A complete reference for how the Finwise finance tracker was designed, improved, and deployed from scratch.</w:t>
      </w:r>
    </w:p>
    <w:tbl>
      <w:tblPr>
        <w:tblStyle w:val="TableGrid"/>
        <w:tblW w:type="auto" w:w="0"/>
        <w:tblLayout w:type="fixed"/>
        <w:tblLook w:firstColumn="1" w:firstRow="1" w:lastColumn="0" w:lastRow="0" w:noHBand="0" w:noVBand="1" w:val="04A0"/>
      </w:tblPr>
      <w:tblGrid>
        <w:gridCol w:w="4997"/>
        <w:gridCol w:w="4997"/>
      </w:tblGrid>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Prepared for</w:t>
            </w:r>
          </w:p>
        </w:tc>
        <w:tc>
          <w:tcPr>
            <w:tcW w:type="dxa" w:w="7056"/>
            <w:vAlign w:val="center"/>
            <w:tcBorders>
              <w:top w:val="single" w:sz="8" w:space="0" w:color="DDD5CB"/>
              <w:left w:val="single" w:sz="8" w:space="0" w:color="DDD5CB"/>
              <w:bottom w:val="single" w:sz="8" w:space="0" w:color="DDD5CB"/>
              <w:right w:val="single" w:sz="8" w:space="0" w:color="DDD5CB"/>
            </w:tcBorders>
          </w:tcPr>
          <w:p>
            <w:r>
              <w:t>Vel Kumaran</w:t>
            </w:r>
          </w:p>
        </w:tc>
      </w:tr>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Project</w:t>
            </w:r>
          </w:p>
        </w:tc>
        <w:tc>
          <w:tcPr>
            <w:tcW w:type="dxa" w:w="7056"/>
            <w:vAlign w:val="center"/>
            <w:tcBorders>
              <w:top w:val="single" w:sz="8" w:space="0" w:color="DDD5CB"/>
              <w:left w:val="single" w:sz="8" w:space="0" w:color="DDD5CB"/>
              <w:bottom w:val="single" w:sz="8" w:space="0" w:color="DDD5CB"/>
              <w:right w:val="single" w:sz="8" w:space="0" w:color="DDD5CB"/>
            </w:tcBorders>
          </w:tcPr>
          <w:p>
            <w:r>
              <w:t>Finwise: Premium AI Finance Tracker</w:t>
            </w:r>
          </w:p>
        </w:tc>
      </w:tr>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Scope</w:t>
            </w:r>
          </w:p>
        </w:tc>
        <w:tc>
          <w:tcPr>
            <w:tcW w:type="dxa" w:w="7056"/>
            <w:vAlign w:val="center"/>
            <w:tcBorders>
              <w:top w:val="single" w:sz="8" w:space="0" w:color="DDD5CB"/>
              <w:left w:val="single" w:sz="8" w:space="0" w:color="DDD5CB"/>
              <w:bottom w:val="single" w:sz="8" w:space="0" w:color="DDD5CB"/>
              <w:right w:val="single" w:sz="8" w:space="0" w:color="DDD5CB"/>
            </w:tcBorders>
          </w:tcPr>
          <w:p>
            <w:r>
              <w:t>Product architecture, implementation journey, environment setup, troubleshooting, and production deployment</w:t>
            </w:r>
          </w:p>
        </w:tc>
      </w:tr>
      <w:tr>
        <w:tc>
          <w:tcPr>
            <w:tcW w:type="dxa" w:w="2736"/>
            <w:vAlign w:val="center"/>
            <w:tcBorders>
              <w:top w:val="single" w:sz="8" w:space="0" w:color="DDD5CB"/>
              <w:left w:val="single" w:sz="8" w:space="0" w:color="DDD5CB"/>
              <w:bottom w:val="single" w:sz="8" w:space="0" w:color="DDD5CB"/>
              <w:right w:val="single" w:sz="8" w:space="0" w:color="DDD5CB"/>
            </w:tcBorders>
            <w:shd w:fill="F3EBDD"/>
          </w:tcPr>
          <w:p>
            <w:r>
              <w:rPr>
                <w:b/>
              </w:rPr>
              <w:t>Generated on</w:t>
            </w:r>
          </w:p>
        </w:tc>
        <w:tc>
          <w:tcPr>
            <w:tcW w:type="dxa" w:w="7056"/>
            <w:vAlign w:val="center"/>
            <w:tcBorders>
              <w:top w:val="single" w:sz="8" w:space="0" w:color="DDD5CB"/>
              <w:left w:val="single" w:sz="8" w:space="0" w:color="DDD5CB"/>
              <w:bottom w:val="single" w:sz="8" w:space="0" w:color="DDD5CB"/>
              <w:right w:val="single" w:sz="8" w:space="0" w:color="DDD5CB"/>
            </w:tcBorders>
          </w:tcPr>
          <w:p>
            <w:r>
              <w:t>30 April 2026, 12:25 PM</w:t>
            </w:r>
          </w:p>
        </w:tc>
      </w:tr>
    </w:tbl>
    <w:p/>
    <w:p>
      <w:pPr>
        <w:jc w:val="center"/>
      </w:pPr>
      <w:r>
        <w:rPr>
          <w:i/>
          <w:color w:val="6B6560"/>
        </w:rPr>
        <w:t>This guide documents the real implementation choices used in the live application, including Firebase authentication, Firestore transaction storage, Firebase-backed profile persistence, AI and market proxy architecture, and Vercel serverless deployment.</w:t>
      </w:r>
    </w:p>
    <w:p>
      <w:r>
        <w:br w:type="page"/>
      </w:r>
    </w:p>
    <w:p>
      <w:pPr>
        <w:pStyle w:val="Heading1"/>
      </w:pPr>
      <w:r>
        <w:t>Contents</w:t>
      </w:r>
    </w:p>
    <w:p>
      <w:pPr>
        <w:pStyle w:val="ListBullet"/>
        <w:spacing w:after="60"/>
      </w:pPr>
      <w:r>
        <w:t>1. Product Overview</w:t>
      </w:r>
    </w:p>
    <w:p>
      <w:pPr>
        <w:pStyle w:val="ListBullet"/>
        <w:spacing w:after="60"/>
      </w:pPr>
      <w:r>
        <w:t>2. Final Feature Set</w:t>
      </w:r>
    </w:p>
    <w:p>
      <w:pPr>
        <w:pStyle w:val="ListBullet"/>
        <w:spacing w:after="60"/>
      </w:pPr>
      <w:r>
        <w:t>3. Technology Stack</w:t>
      </w:r>
    </w:p>
    <w:p>
      <w:pPr>
        <w:pStyle w:val="ListBullet"/>
        <w:spacing w:after="60"/>
      </w:pPr>
      <w:r>
        <w:t>4. High-Level Architecture</w:t>
      </w:r>
    </w:p>
    <w:p>
      <w:pPr>
        <w:pStyle w:val="ListBullet"/>
        <w:spacing w:after="60"/>
      </w:pPr>
      <w:r>
        <w:t>5. Frontend Application Design</w:t>
      </w:r>
    </w:p>
    <w:p>
      <w:pPr>
        <w:pStyle w:val="ListBullet"/>
        <w:spacing w:after="60"/>
      </w:pPr>
      <w:r>
        <w:t>6. Data Model and Core Calculations</w:t>
      </w:r>
    </w:p>
    <w:p>
      <w:pPr>
        <w:pStyle w:val="ListBullet"/>
        <w:spacing w:after="60"/>
      </w:pPr>
      <w:r>
        <w:t>7. Authentication System</w:t>
      </w:r>
    </w:p>
    <w:p>
      <w:pPr>
        <w:pStyle w:val="ListBullet"/>
        <w:spacing w:after="60"/>
      </w:pPr>
      <w:r>
        <w:t>8. AI Insights Platform</w:t>
      </w:r>
    </w:p>
    <w:p>
      <w:pPr>
        <w:pStyle w:val="ListBullet"/>
        <w:spacing w:after="60"/>
      </w:pPr>
      <w:r>
        <w:t>9. Market Holdings and Valuation Platform</w:t>
      </w:r>
    </w:p>
    <w:p>
      <w:pPr>
        <w:pStyle w:val="ListBullet"/>
        <w:spacing w:after="60"/>
      </w:pPr>
      <w:r>
        <w:t>10. Local Development Workflow</w:t>
      </w:r>
    </w:p>
    <w:p>
      <w:pPr>
        <w:pStyle w:val="ListBullet"/>
        <w:spacing w:after="60"/>
      </w:pPr>
      <w:r>
        <w:t>11. Production Deployment on Vercel</w:t>
      </w:r>
    </w:p>
    <w:p>
      <w:pPr>
        <w:pStyle w:val="ListBullet"/>
        <w:spacing w:after="60"/>
      </w:pPr>
      <w:r>
        <w:t>12. Environment Variables and Secrets</w:t>
      </w:r>
    </w:p>
    <w:p>
      <w:pPr>
        <w:pStyle w:val="ListBullet"/>
        <w:spacing w:after="60"/>
      </w:pPr>
      <w:r>
        <w:t>13. Security and Reliability Decisions</w:t>
      </w:r>
    </w:p>
    <w:p>
      <w:pPr>
        <w:pStyle w:val="ListBullet"/>
        <w:spacing w:after="60"/>
      </w:pPr>
      <w:r>
        <w:t>14. Performance Optimization and Code Splitting</w:t>
      </w:r>
    </w:p>
    <w:p>
      <w:pPr>
        <w:pStyle w:val="ListBullet"/>
        <w:spacing w:after="60"/>
      </w:pPr>
      <w:r>
        <w:t>15. Implementation Journey and Major Decisions</w:t>
      </w:r>
    </w:p>
    <w:p>
      <w:pPr>
        <w:pStyle w:val="ListBullet"/>
        <w:spacing w:after="60"/>
      </w:pPr>
      <w:r>
        <w:t>16. Testing and Validation Checklist</w:t>
      </w:r>
    </w:p>
    <w:p>
      <w:pPr>
        <w:pStyle w:val="ListBullet"/>
        <w:spacing w:after="60"/>
      </w:pPr>
      <w:r>
        <w:t>17. Troubleshooting Reference</w:t>
      </w:r>
    </w:p>
    <w:p>
      <w:pPr>
        <w:pStyle w:val="ListBullet"/>
        <w:spacing w:after="60"/>
      </w:pPr>
      <w:r>
        <w:t>18. File and Folder Reference</w:t>
      </w:r>
    </w:p>
    <w:p>
      <w:pPr>
        <w:pStyle w:val="ListBullet"/>
        <w:spacing w:after="60"/>
      </w:pPr>
      <w:r>
        <w:t>19. Recommended Next Steps</w:t>
      </w:r>
    </w:p>
    <w:p>
      <w:r>
        <w:br w:type="page"/>
      </w:r>
    </w:p>
    <w:p>
      <w:pPr>
        <w:pStyle w:val="Heading1"/>
      </w:pPr>
      <w:r>
        <w:t>1. Product Overview</w:t>
      </w:r>
    </w:p>
    <w:p>
      <w:pPr>
        <w:spacing w:after="160"/>
      </w:pPr>
      <w:r>
        <w:t>Finwise is a premium personal finance tracker built as a React single-page application with Firebase for authentication and data persistence, plus backend AI and market-data runtimes for secure provider access. The app evolved from a lighter expense tracker into a broader command center covering income, expenses, investments, insurance, live-valued market holdings, goals, net worth, analytics, AI reasoning, import/export, and account controls.</w:t>
      </w:r>
    </w:p>
    <w:p>
      <w:pPr>
        <w:pStyle w:val="ListBullet"/>
        <w:spacing w:after="80"/>
      </w:pPr>
      <w:r>
        <w:t>The final product is opinionated around practical day-to-day financial management rather than stock-market watching.</w:t>
      </w:r>
    </w:p>
    <w:p>
      <w:pPr>
        <w:pStyle w:val="ListBullet"/>
        <w:spacing w:after="80"/>
      </w:pPr>
      <w:r>
        <w:t>The app is designed to support both manual entry and CSV import, then turn that data into diagnostics, alerts, planning, portfolio valuation, and AI-assisted explanation.</w:t>
      </w:r>
    </w:p>
    <w:p>
      <w:pPr>
        <w:pStyle w:val="ListBullet"/>
        <w:spacing w:after="80"/>
      </w:pPr>
      <w:r>
        <w:t>The production target is Vercel, with Firebase as the external identity and data backend, and optional AI providers behind serverless endpoints.</w:t>
      </w:r>
    </w:p>
    <w:p>
      <w:pPr>
        <w:pStyle w:val="Heading1"/>
      </w:pPr>
      <w:r>
        <w:t>2. Final Feature Set</w:t>
      </w:r>
    </w:p>
    <w:tbl>
      <w:tblPr>
        <w:tblStyle w:val="TableGrid"/>
        <w:tblW w:type="auto" w:w="0"/>
        <w:tblLook w:firstColumn="1" w:firstRow="1" w:lastColumn="0" w:lastRow="0" w:noHBand="0" w:noVBand="1" w:val="04A0"/>
      </w:tblPr>
      <w:tblGrid>
        <w:gridCol w:w="4997"/>
        <w:gridCol w:w="4997"/>
      </w:tblGrid>
      <w:tr>
        <w:tc>
          <w:tcPr>
            <w:tcW w:type="dxa" w:w="2448"/>
            <w:vAlign w:val="center"/>
            <w:shd w:fill="F3EBDD"/>
            <w:tcBorders>
              <w:top w:val="single" w:sz="8" w:space="0" w:color="DDD5CB"/>
              <w:left w:val="single" w:sz="8" w:space="0" w:color="DDD5CB"/>
              <w:bottom w:val="single" w:sz="8" w:space="0" w:color="DDD5CB"/>
              <w:right w:val="single" w:sz="8" w:space="0" w:color="DDD5CB"/>
            </w:tcBorders>
          </w:tcPr>
          <w:p>
            <w:r>
              <w:rPr>
                <w:b/>
              </w:rPr>
              <w:t>Area</w:t>
            </w:r>
          </w:p>
        </w:tc>
        <w:tc>
          <w:tcPr>
            <w:tcW w:type="dxa" w:w="8064"/>
            <w:vAlign w:val="center"/>
            <w:shd w:fill="F3EBDD"/>
            <w:tcBorders>
              <w:top w:val="single" w:sz="8" w:space="0" w:color="DDD5CB"/>
              <w:left w:val="single" w:sz="8" w:space="0" w:color="DDD5CB"/>
              <w:bottom w:val="single" w:sz="8" w:space="0" w:color="DDD5CB"/>
              <w:right w:val="single" w:sz="8" w:space="0" w:color="DDD5CB"/>
            </w:tcBorders>
          </w:tcPr>
          <w:p>
            <w:r>
              <w:rPr>
                <w:b/>
              </w:rPr>
              <w:t>Final capability</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Overview Dashboard</w:t>
            </w:r>
          </w:p>
        </w:tc>
        <w:tc>
          <w:tcPr>
            <w:tcW w:type="dxa" w:w="8064"/>
            <w:vAlign w:val="center"/>
            <w:tcBorders>
              <w:top w:val="single" w:sz="8" w:space="0" w:color="DDD5CB"/>
              <w:left w:val="single" w:sz="8" w:space="0" w:color="DDD5CB"/>
              <w:bottom w:val="single" w:sz="8" w:space="0" w:color="DDD5CB"/>
              <w:right w:val="single" w:sz="8" w:space="0" w:color="DDD5CB"/>
            </w:tcBorders>
          </w:tcPr>
          <w:p>
            <w:r>
              <w:t>Cash position, savings rate, net worth, budget progress, runway, investment rate, goal funding gap, charts, alerts, onboarding setup guidance</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Transactions</w:t>
            </w:r>
          </w:p>
        </w:tc>
        <w:tc>
          <w:tcPr>
            <w:tcW w:type="dxa" w:w="8064"/>
            <w:vAlign w:val="center"/>
            <w:tcBorders>
              <w:top w:val="single" w:sz="8" w:space="0" w:color="DDD5CB"/>
              <w:left w:val="single" w:sz="8" w:space="0" w:color="DDD5CB"/>
              <w:bottom w:val="single" w:sz="8" w:space="0" w:color="DDD5CB"/>
              <w:right w:val="single" w:sz="8" w:space="0" w:color="DDD5CB"/>
            </w:tcBorders>
          </w:tcPr>
          <w:p>
            <w:r>
              <w:t>Income, expense, investment, and insurance types with recurring transaction support</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AI Insights</w:t>
            </w:r>
          </w:p>
        </w:tc>
        <w:tc>
          <w:tcPr>
            <w:tcW w:type="dxa" w:w="8064"/>
            <w:vAlign w:val="center"/>
            <w:tcBorders>
              <w:top w:val="single" w:sz="8" w:space="0" w:color="DDD5CB"/>
              <w:left w:val="single" w:sz="8" w:space="0" w:color="DDD5CB"/>
              <w:bottom w:val="single" w:sz="8" w:space="0" w:color="DDD5CB"/>
              <w:right w:val="single" w:sz="8" w:space="0" w:color="DDD5CB"/>
            </w:tcBorders>
          </w:tcPr>
          <w:p>
            <w:r>
              <w:t>Heuristic analysis, provider-backed insights, ask-anything financial Q&amp;A, anomaly view, savings and investment suggestions</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Analytics</w:t>
            </w:r>
          </w:p>
        </w:tc>
        <w:tc>
          <w:tcPr>
            <w:tcW w:type="dxa" w:w="8064"/>
            <w:vAlign w:val="center"/>
            <w:tcBorders>
              <w:top w:val="single" w:sz="8" w:space="0" w:color="DDD5CB"/>
              <w:left w:val="single" w:sz="8" w:space="0" w:color="DDD5CB"/>
              <w:bottom w:val="single" w:sz="8" w:space="0" w:color="DDD5CB"/>
              <w:right w:val="single" w:sz="8" w:space="0" w:color="DDD5CB"/>
            </w:tcBorders>
          </w:tcPr>
          <w:p>
            <w:r>
              <w:t>Twelve-month trend charts, year-over-year comparisons, average metrics, category trend lines, spending heat map, CSV and PDF export</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Goals</w:t>
            </w:r>
          </w:p>
        </w:tc>
        <w:tc>
          <w:tcPr>
            <w:tcW w:type="dxa" w:w="8064"/>
            <w:vAlign w:val="center"/>
            <w:tcBorders>
              <w:top w:val="single" w:sz="8" w:space="0" w:color="DDD5CB"/>
              <w:left w:val="single" w:sz="8" w:space="0" w:color="DDD5CB"/>
              <w:bottom w:val="single" w:sz="8" w:space="0" w:color="DDD5CB"/>
              <w:right w:val="single" w:sz="8" w:space="0" w:color="DDD5CB"/>
            </w:tcBorders>
          </w:tcPr>
          <w:p>
            <w:r>
              <w:t>Goal templates, progress tracking, monthly pace estimation, status flags, contribution actions</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Net Worth</w:t>
            </w:r>
          </w:p>
        </w:tc>
        <w:tc>
          <w:tcPr>
            <w:tcW w:type="dxa" w:w="8064"/>
            <w:vAlign w:val="center"/>
            <w:tcBorders>
              <w:top w:val="single" w:sz="8" w:space="0" w:color="DDD5CB"/>
              <w:left w:val="single" w:sz="8" w:space="0" w:color="DDD5CB"/>
              <w:bottom w:val="single" w:sz="8" w:space="0" w:color="DDD5CB"/>
              <w:right w:val="single" w:sz="8" w:space="0" w:color="DDD5CB"/>
            </w:tcBorders>
          </w:tcPr>
          <w:p>
            <w:r>
              <w:t>Manual assets, liabilities, liquidity buffer, debt ratio, balance-sheet diagnostics, starter templates, and live market holdings</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Import</w:t>
            </w:r>
          </w:p>
        </w:tc>
        <w:tc>
          <w:tcPr>
            <w:tcW w:type="dxa" w:w="8064"/>
            <w:vAlign w:val="center"/>
            <w:tcBorders>
              <w:top w:val="single" w:sz="8" w:space="0" w:color="DDD5CB"/>
              <w:left w:val="single" w:sz="8" w:space="0" w:color="DDD5CB"/>
              <w:bottom w:val="single" w:sz="8" w:space="0" w:color="DDD5CB"/>
              <w:right w:val="single" w:sz="8" w:space="0" w:color="DDD5CB"/>
            </w:tcBorders>
          </w:tcPr>
          <w:p>
            <w:r>
              <w:t>CSV upload, column mapping, preview, validation, staged import</w:t>
            </w:r>
          </w:p>
        </w:tc>
      </w:tr>
      <w:tr>
        <w:tc>
          <w:tcPr>
            <w:tcW w:type="dxa" w:w="2448"/>
            <w:vAlign w:val="center"/>
            <w:tcBorders>
              <w:top w:val="single" w:sz="8" w:space="0" w:color="DDD5CB"/>
              <w:left w:val="single" w:sz="8" w:space="0" w:color="DDD5CB"/>
              <w:bottom w:val="single" w:sz="8" w:space="0" w:color="DDD5CB"/>
              <w:right w:val="single" w:sz="8" w:space="0" w:color="DDD5CB"/>
            </w:tcBorders>
          </w:tcPr>
          <w:p>
            <w:r>
              <w:t>Settings and Account</w:t>
            </w:r>
          </w:p>
        </w:tc>
        <w:tc>
          <w:tcPr>
            <w:tcW w:type="dxa" w:w="8064"/>
            <w:vAlign w:val="center"/>
            <w:tcBorders>
              <w:top w:val="single" w:sz="8" w:space="0" w:color="DDD5CB"/>
              <w:left w:val="single" w:sz="8" w:space="0" w:color="DDD5CB"/>
              <w:bottom w:val="single" w:sz="8" w:space="0" w:color="DDD5CB"/>
              <w:right w:val="single" w:sz="8" w:space="0" w:color="DDD5CB"/>
            </w:tcBorders>
          </w:tcPr>
          <w:p>
            <w:r>
              <w:t>Theme, budget, notifications, AI provider configuration, email verification, password reset, email change</w:t>
            </w:r>
          </w:p>
        </w:tc>
      </w:tr>
    </w:tbl>
    <w:p>
      <w:pPr>
        <w:pStyle w:val="Heading1"/>
      </w:pPr>
      <w:r>
        <w:t>3. Technology Stack</w:t>
      </w:r>
    </w:p>
    <w:tbl>
      <w:tblPr>
        <w:tblStyle w:val="TableGrid"/>
        <w:tblW w:type="auto" w:w="0"/>
        <w:tblLook w:firstColumn="1" w:firstRow="1" w:lastColumn="0" w:lastRow="0" w:noHBand="0" w:noVBand="1" w:val="04A0"/>
      </w:tblPr>
      <w:tblGrid>
        <w:gridCol w:w="3331"/>
        <w:gridCol w:w="3331"/>
        <w:gridCol w:w="3331"/>
      </w:tblGrid>
      <w:tr>
        <w:tc>
          <w:tcPr>
            <w:tcW w:type="dxa" w:w="1728"/>
            <w:vAlign w:val="center"/>
            <w:shd w:fill="F3EBDD"/>
            <w:tcBorders>
              <w:top w:val="single" w:sz="8" w:space="0" w:color="DDD5CB"/>
              <w:left w:val="single" w:sz="8" w:space="0" w:color="DDD5CB"/>
              <w:bottom w:val="single" w:sz="8" w:space="0" w:color="DDD5CB"/>
              <w:right w:val="single" w:sz="8" w:space="0" w:color="DDD5CB"/>
            </w:tcBorders>
          </w:tcPr>
          <w:p>
            <w:r>
              <w:rPr>
                <w:b/>
              </w:rPr>
              <w:t>Layer</w:t>
            </w:r>
          </w:p>
        </w:tc>
        <w:tc>
          <w:tcPr>
            <w:tcW w:type="dxa" w:w="2736"/>
            <w:vAlign w:val="center"/>
            <w:shd w:fill="F3EBDD"/>
            <w:tcBorders>
              <w:top w:val="single" w:sz="8" w:space="0" w:color="DDD5CB"/>
              <w:left w:val="single" w:sz="8" w:space="0" w:color="DDD5CB"/>
              <w:bottom w:val="single" w:sz="8" w:space="0" w:color="DDD5CB"/>
              <w:right w:val="single" w:sz="8" w:space="0" w:color="DDD5CB"/>
            </w:tcBorders>
          </w:tcPr>
          <w:p>
            <w:r>
              <w:rPr>
                <w:b/>
              </w:rPr>
              <w:t>Choice</w:t>
            </w:r>
          </w:p>
        </w:tc>
        <w:tc>
          <w:tcPr>
            <w:tcW w:type="dxa" w:w="6048"/>
            <w:vAlign w:val="center"/>
            <w:shd w:fill="F3EBDD"/>
            <w:tcBorders>
              <w:top w:val="single" w:sz="8" w:space="0" w:color="DDD5CB"/>
              <w:left w:val="single" w:sz="8" w:space="0" w:color="DDD5CB"/>
              <w:bottom w:val="single" w:sz="8" w:space="0" w:color="DDD5CB"/>
              <w:right w:val="single" w:sz="8" w:space="0" w:color="DDD5CB"/>
            </w:tcBorders>
          </w:tcPr>
          <w:p>
            <w:r>
              <w:rPr>
                <w:b/>
              </w:rPr>
              <w:t>Reason</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Frontend</w:t>
            </w:r>
          </w:p>
        </w:tc>
        <w:tc>
          <w:tcPr>
            <w:tcW w:type="dxa" w:w="2736"/>
            <w:vAlign w:val="center"/>
            <w:tcBorders>
              <w:top w:val="single" w:sz="8" w:space="0" w:color="DDD5CB"/>
              <w:left w:val="single" w:sz="8" w:space="0" w:color="DDD5CB"/>
              <w:bottom w:val="single" w:sz="8" w:space="0" w:color="DDD5CB"/>
              <w:right w:val="single" w:sz="8" w:space="0" w:color="DDD5CB"/>
            </w:tcBorders>
          </w:tcPr>
          <w:p>
            <w:r>
              <w:t>React 19 + Vite 8</w:t>
            </w:r>
          </w:p>
        </w:tc>
        <w:tc>
          <w:tcPr>
            <w:tcW w:type="dxa" w:w="6048"/>
            <w:vAlign w:val="center"/>
            <w:tcBorders>
              <w:top w:val="single" w:sz="8" w:space="0" w:color="DDD5CB"/>
              <w:left w:val="single" w:sz="8" w:space="0" w:color="DDD5CB"/>
              <w:bottom w:val="single" w:sz="8" w:space="0" w:color="DDD5CB"/>
              <w:right w:val="single" w:sz="8" w:space="0" w:color="DDD5CB"/>
            </w:tcBorders>
          </w:tcPr>
          <w:p>
            <w:r>
              <w:t>Fast development loop, simple bundling, strong compatibility with modular SPA structure</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UI + Visuals</w:t>
            </w:r>
          </w:p>
        </w:tc>
        <w:tc>
          <w:tcPr>
            <w:tcW w:type="dxa" w:w="2736"/>
            <w:vAlign w:val="center"/>
            <w:tcBorders>
              <w:top w:val="single" w:sz="8" w:space="0" w:color="DDD5CB"/>
              <w:left w:val="single" w:sz="8" w:space="0" w:color="DDD5CB"/>
              <w:bottom w:val="single" w:sz="8" w:space="0" w:color="DDD5CB"/>
              <w:right w:val="single" w:sz="8" w:space="0" w:color="DDD5CB"/>
            </w:tcBorders>
          </w:tcPr>
          <w:p>
            <w:r>
              <w:t>Custom CSS + Recharts</w:t>
            </w:r>
          </w:p>
        </w:tc>
        <w:tc>
          <w:tcPr>
            <w:tcW w:type="dxa" w:w="6048"/>
            <w:vAlign w:val="center"/>
            <w:tcBorders>
              <w:top w:val="single" w:sz="8" w:space="0" w:color="DDD5CB"/>
              <w:left w:val="single" w:sz="8" w:space="0" w:color="DDD5CB"/>
              <w:bottom w:val="single" w:sz="8" w:space="0" w:color="DDD5CB"/>
              <w:right w:val="single" w:sz="8" w:space="0" w:color="DDD5CB"/>
            </w:tcBorders>
          </w:tcPr>
          <w:p>
            <w:r>
              <w:t>Allowed a tailored product style while still supporting premium charts and dashboards</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Authentication</w:t>
            </w:r>
          </w:p>
        </w:tc>
        <w:tc>
          <w:tcPr>
            <w:tcW w:type="dxa" w:w="2736"/>
            <w:vAlign w:val="center"/>
            <w:tcBorders>
              <w:top w:val="single" w:sz="8" w:space="0" w:color="DDD5CB"/>
              <w:left w:val="single" w:sz="8" w:space="0" w:color="DDD5CB"/>
              <w:bottom w:val="single" w:sz="8" w:space="0" w:color="DDD5CB"/>
              <w:right w:val="single" w:sz="8" w:space="0" w:color="DDD5CB"/>
            </w:tcBorders>
          </w:tcPr>
          <w:p>
            <w:r>
              <w:t>Firebase Auth</w:t>
            </w:r>
          </w:p>
        </w:tc>
        <w:tc>
          <w:tcPr>
            <w:tcW w:type="dxa" w:w="6048"/>
            <w:vAlign w:val="center"/>
            <w:tcBorders>
              <w:top w:val="single" w:sz="8" w:space="0" w:color="DDD5CB"/>
              <w:left w:val="single" w:sz="8" w:space="0" w:color="DDD5CB"/>
              <w:bottom w:val="single" w:sz="8" w:space="0" w:color="DDD5CB"/>
              <w:right w:val="single" w:sz="8" w:space="0" w:color="DDD5CB"/>
            </w:tcBorders>
          </w:tcPr>
          <w:p>
            <w:r>
              <w:t>Rapid support for email/password, Google sign-in, password reset, email verification, and magic-link sign-in</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Data Storage</w:t>
            </w:r>
          </w:p>
        </w:tc>
        <w:tc>
          <w:tcPr>
            <w:tcW w:type="dxa" w:w="2736"/>
            <w:vAlign w:val="center"/>
            <w:tcBorders>
              <w:top w:val="single" w:sz="8" w:space="0" w:color="DDD5CB"/>
              <w:left w:val="single" w:sz="8" w:space="0" w:color="DDD5CB"/>
              <w:bottom w:val="single" w:sz="8" w:space="0" w:color="DDD5CB"/>
              <w:right w:val="single" w:sz="8" w:space="0" w:color="DDD5CB"/>
            </w:tcBorders>
          </w:tcPr>
          <w:p>
            <w:r>
              <w:t>Cloud Firestore</w:t>
            </w:r>
          </w:p>
        </w:tc>
        <w:tc>
          <w:tcPr>
            <w:tcW w:type="dxa" w:w="6048"/>
            <w:vAlign w:val="center"/>
            <w:tcBorders>
              <w:top w:val="single" w:sz="8" w:space="0" w:color="DDD5CB"/>
              <w:left w:val="single" w:sz="8" w:space="0" w:color="DDD5CB"/>
              <w:bottom w:val="single" w:sz="8" w:space="0" w:color="DDD5CB"/>
              <w:right w:val="single" w:sz="8" w:space="0" w:color="DDD5CB"/>
            </w:tcBorders>
          </w:tcPr>
          <w:p>
            <w:r>
              <w:t>Per-user transaction storage plus Firebase-backed profile state for goals, holdings, assets, liabilities, snapshots, and preferences</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Backend Runtime</w:t>
            </w:r>
          </w:p>
        </w:tc>
        <w:tc>
          <w:tcPr>
            <w:tcW w:type="dxa" w:w="2736"/>
            <w:vAlign w:val="center"/>
            <w:tcBorders>
              <w:top w:val="single" w:sz="8" w:space="0" w:color="DDD5CB"/>
              <w:left w:val="single" w:sz="8" w:space="0" w:color="DDD5CB"/>
              <w:bottom w:val="single" w:sz="8" w:space="0" w:color="DDD5CB"/>
              <w:right w:val="single" w:sz="8" w:space="0" w:color="DDD5CB"/>
            </w:tcBorders>
          </w:tcPr>
          <w:p>
            <w:r>
              <w:t>Node.js server + Vercel serverless functions</w:t>
            </w:r>
          </w:p>
        </w:tc>
        <w:tc>
          <w:tcPr>
            <w:tcW w:type="dxa" w:w="6048"/>
            <w:vAlign w:val="center"/>
            <w:tcBorders>
              <w:top w:val="single" w:sz="8" w:space="0" w:color="DDD5CB"/>
              <w:left w:val="single" w:sz="8" w:space="0" w:color="DDD5CB"/>
              <w:bottom w:val="single" w:sz="8" w:space="0" w:color="DDD5CB"/>
              <w:right w:val="single" w:sz="8" w:space="0" w:color="DDD5CB"/>
            </w:tcBorders>
          </w:tcPr>
          <w:p>
            <w:r>
              <w:t>Kept AI and market-data keys away from the browser and unified runtime behavior across local and deployed environments</w:t>
            </w:r>
          </w:p>
        </w:tc>
      </w:tr>
      <w:tr>
        <w:tc>
          <w:tcPr>
            <w:tcW w:type="dxa" w:w="1728"/>
            <w:vAlign w:val="center"/>
            <w:tcBorders>
              <w:top w:val="single" w:sz="8" w:space="0" w:color="DDD5CB"/>
              <w:left w:val="single" w:sz="8" w:space="0" w:color="DDD5CB"/>
              <w:bottom w:val="single" w:sz="8" w:space="0" w:color="DDD5CB"/>
              <w:right w:val="single" w:sz="8" w:space="0" w:color="DDD5CB"/>
            </w:tcBorders>
          </w:tcPr>
          <w:p>
            <w:r>
              <w:t>Deployment</w:t>
            </w:r>
          </w:p>
        </w:tc>
        <w:tc>
          <w:tcPr>
            <w:tcW w:type="dxa" w:w="2736"/>
            <w:vAlign w:val="center"/>
            <w:tcBorders>
              <w:top w:val="single" w:sz="8" w:space="0" w:color="DDD5CB"/>
              <w:left w:val="single" w:sz="8" w:space="0" w:color="DDD5CB"/>
              <w:bottom w:val="single" w:sz="8" w:space="0" w:color="DDD5CB"/>
              <w:right w:val="single" w:sz="8" w:space="0" w:color="DDD5CB"/>
            </w:tcBorders>
          </w:tcPr>
          <w:p>
            <w:r>
              <w:t>Vercel</w:t>
            </w:r>
          </w:p>
        </w:tc>
        <w:tc>
          <w:tcPr>
            <w:tcW w:type="dxa" w:w="6048"/>
            <w:vAlign w:val="center"/>
            <w:tcBorders>
              <w:top w:val="single" w:sz="8" w:space="0" w:color="DDD5CB"/>
              <w:left w:val="single" w:sz="8" w:space="0" w:color="DDD5CB"/>
              <w:bottom w:val="single" w:sz="8" w:space="0" w:color="DDD5CB"/>
              <w:right w:val="single" w:sz="8" w:space="0" w:color="DDD5CB"/>
            </w:tcBorders>
          </w:tcPr>
          <w:p>
            <w:r>
              <w:t>Straightforward static frontend hosting with `/api` serverless functions and environment variable management</w:t>
            </w:r>
          </w:p>
        </w:tc>
      </w:tr>
    </w:tbl>
    <w:p>
      <w:pPr>
        <w:pStyle w:val="Heading1"/>
      </w:pPr>
      <w:r>
        <w:t>4. High-Level Architecture</w:t>
      </w:r>
    </w:p>
    <w:p>
      <w:pPr>
        <w:spacing w:after="160"/>
      </w:pPr>
      <w:r>
        <w:t>The architecture has four major zones: the client app, Firebase-managed identity and persistence, the backend AI and market runtimes, and the external managed providers. Firebase handles identity, transactions, and profile state. The backend runtimes handle provider selection, market refresh, and key isolation. The Vercel deployment serves both the frontend bundle and the production API functions.</w:t>
      </w:r>
    </w:p>
    <w:p>
      <w:pPr>
        <w:jc w:val="center"/>
      </w:pPr>
      <w:r>
        <w:drawing>
          <wp:inline xmlns:a="http://schemas.openxmlformats.org/drawingml/2006/main" xmlns:pic="http://schemas.openxmlformats.org/drawingml/2006/picture">
            <wp:extent cx="6217920" cy="3661664"/>
            <wp:docPr id="1" name="Picture 1"/>
            <wp:cNvGraphicFramePr>
              <a:graphicFrameLocks noChangeAspect="1"/>
            </wp:cNvGraphicFramePr>
            <a:graphic>
              <a:graphicData uri="http://schemas.openxmlformats.org/drawingml/2006/picture">
                <pic:pic>
                  <pic:nvPicPr>
                    <pic:cNvPr id="0" name="finwise-architecture-diagram.png"/>
                    <pic:cNvPicPr/>
                  </pic:nvPicPr>
                  <pic:blipFill>
                    <a:blip r:embed="rId10"/>
                    <a:stretch>
                      <a:fillRect/>
                    </a:stretch>
                  </pic:blipFill>
                  <pic:spPr>
                    <a:xfrm>
                      <a:off x="0" y="0"/>
                      <a:ext cx="6217920" cy="3661664"/>
                    </a:xfrm>
                    <a:prstGeom prst="rect"/>
                  </pic:spPr>
                </pic:pic>
              </a:graphicData>
            </a:graphic>
          </wp:inline>
        </w:drawing>
      </w:r>
    </w:p>
    <w:p>
      <w:pPr>
        <w:jc w:val="center"/>
      </w:pPr>
      <w:r>
        <w:rPr>
          <w:i/>
          <w:color w:val="6B6560"/>
        </w:rPr>
        <w:t>Figure 1. Finwise system architecture</w:t>
      </w:r>
    </w:p>
    <w:p>
      <w:pPr>
        <w:pStyle w:val="Heading1"/>
      </w:pPr>
      <w:r>
        <w:t>5. Frontend Application Design</w:t>
      </w:r>
    </w:p>
    <w:p>
      <w:pPr>
        <w:spacing w:after="160"/>
      </w:pPr>
      <w:r>
        <w:t>The main stateful shell lives in `src/App.jsx`. It owns authentication state, transaction subscription, Firebase-backed profile state, derived metrics, tab routing, AI request orchestration, market-holdings persistence, budget settings, goals, assets, liabilities, and notification toasts. Feature screens are modular React components loaded on demand through lazy loading and a `Suspense` boundary.</w:t>
      </w:r>
    </w:p>
    <w:p>
      <w:pPr>
        <w:pStyle w:val="ListBullet"/>
        <w:spacing w:after="80"/>
      </w:pPr>
      <w:r>
        <w:t>The app uses one navigation model for desktop sidebar and one for mobile bottom navigation, both driven by the same `activeTab` state.</w:t>
      </w:r>
    </w:p>
    <w:p>
      <w:pPr>
        <w:pStyle w:val="ListBullet"/>
        <w:spacing w:after="80"/>
      </w:pPr>
      <w:r>
        <w:t>Feature modules include Dashboard, AIInsights, AnalyticsReports, GoalsTargets, NetWorthTracker, AddForm, History, ImportPage, and Settings.</w:t>
      </w:r>
    </w:p>
    <w:p>
      <w:pPr>
        <w:pStyle w:val="ListBullet"/>
        <w:spacing w:after="80"/>
      </w:pPr>
      <w:r>
        <w:t>Shared logic lives in `src/lib/utils.js`, `src/lib/constants.js`, `src/lib/ai.js`, and `src/lib/market.js`.</w:t>
      </w:r>
    </w:p>
    <w:p>
      <w:pPr>
        <w:pStyle w:val="ListBullet"/>
        <w:spacing w:after="80"/>
      </w:pPr>
      <w:r>
        <w:t>The CSS is centralized in `src/styles/appStyles.js`, giving the product a consistent visual system across cards, charts, forms, empty states, and premium onboarding surfaces.</w:t>
      </w:r>
    </w:p>
    <w:p>
      <w:pPr>
        <w:pStyle w:val="Heading1"/>
      </w:pPr>
      <w:r>
        <w:t>6. Data Model and Core Calculations</w:t>
      </w:r>
    </w:p>
    <w:p>
      <w:pPr>
        <w:spacing w:after="160"/>
      </w:pPr>
      <w:r>
        <w:t>Transactions are stored in Firestore under `users/{uid}/expenses`. Each record contains amount, type, category, note, date, recurring, and recurringFrequency. User-owned planning and preference state is stored in Firestore under `users/{uid}/meta/appState`, including goals, manual assets, liabilities, market holdings, portfolio snapshots, AI preferences, budget, and notification toggles. Local storage remains only as a migration fallback and for a few transient sign-in helpers.</w:t>
      </w:r>
    </w:p>
    <w:tbl>
      <w:tblPr>
        <w:tblStyle w:val="TableGrid"/>
        <w:tblW w:type="auto" w:w="0"/>
        <w:tblLook w:firstColumn="1" w:firstRow="1" w:lastColumn="0" w:lastRow="0" w:noHBand="0" w:noVBand="1" w:val="04A0"/>
      </w:tblPr>
      <w:tblGrid>
        <w:gridCol w:w="4997"/>
        <w:gridCol w:w="4997"/>
      </w:tblGrid>
      <w:tr>
        <w:tc>
          <w:tcPr>
            <w:tcW w:type="dxa" w:w="2592"/>
            <w:vAlign w:val="center"/>
            <w:shd w:fill="F3EBDD"/>
            <w:tcBorders>
              <w:top w:val="single" w:sz="8" w:space="0" w:color="DDD5CB"/>
              <w:left w:val="single" w:sz="8" w:space="0" w:color="DDD5CB"/>
              <w:bottom w:val="single" w:sz="8" w:space="0" w:color="DDD5CB"/>
              <w:right w:val="single" w:sz="8" w:space="0" w:color="DDD5CB"/>
            </w:tcBorders>
          </w:tcPr>
          <w:p>
            <w:r>
              <w:rPr>
                <w:b/>
              </w:rPr>
              <w:t>Metric</w:t>
            </w:r>
          </w:p>
        </w:tc>
        <w:tc>
          <w:tcPr>
            <w:tcW w:type="dxa" w:w="7920"/>
            <w:vAlign w:val="center"/>
            <w:shd w:fill="F3EBDD"/>
            <w:tcBorders>
              <w:top w:val="single" w:sz="8" w:space="0" w:color="DDD5CB"/>
              <w:left w:val="single" w:sz="8" w:space="0" w:color="DDD5CB"/>
              <w:bottom w:val="single" w:sz="8" w:space="0" w:color="DDD5CB"/>
              <w:right w:val="single" w:sz="8" w:space="0" w:color="DDD5CB"/>
            </w:tcBorders>
          </w:tcPr>
          <w:p>
            <w:r>
              <w:rPr>
                <w:b/>
              </w:rPr>
              <w:t>How it is calculated</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Balance</w:t>
            </w:r>
          </w:p>
        </w:tc>
        <w:tc>
          <w:tcPr>
            <w:tcW w:type="dxa" w:w="7920"/>
            <w:vAlign w:val="center"/>
            <w:tcBorders>
              <w:top w:val="single" w:sz="8" w:space="0" w:color="DDD5CB"/>
              <w:left w:val="single" w:sz="8" w:space="0" w:color="DDD5CB"/>
              <w:bottom w:val="single" w:sz="8" w:space="0" w:color="DDD5CB"/>
              <w:right w:val="single" w:sz="8" w:space="0" w:color="DDD5CB"/>
            </w:tcBorders>
          </w:tcPr>
          <w:p>
            <w:r>
              <w:t>income - expense - investment - insurance for the selected period</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Savings Rate</w:t>
            </w:r>
          </w:p>
        </w:tc>
        <w:tc>
          <w:tcPr>
            <w:tcW w:type="dxa" w:w="7920"/>
            <w:vAlign w:val="center"/>
            <w:tcBorders>
              <w:top w:val="single" w:sz="8" w:space="0" w:color="DDD5CB"/>
              <w:left w:val="single" w:sz="8" w:space="0" w:color="DDD5CB"/>
              <w:bottom w:val="single" w:sz="8" w:space="0" w:color="DDD5CB"/>
              <w:right w:val="single" w:sz="8" w:space="0" w:color="DDD5CB"/>
            </w:tcBorders>
          </w:tcPr>
          <w:p>
            <w:r>
              <w:t>((income - expense) / income) * 100</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Tracked Cash</w:t>
            </w:r>
          </w:p>
        </w:tc>
        <w:tc>
          <w:tcPr>
            <w:tcW w:type="dxa" w:w="7920"/>
            <w:vAlign w:val="center"/>
            <w:tcBorders>
              <w:top w:val="single" w:sz="8" w:space="0" w:color="DDD5CB"/>
              <w:left w:val="single" w:sz="8" w:space="0" w:color="DDD5CB"/>
              <w:bottom w:val="single" w:sz="8" w:space="0" w:color="DDD5CB"/>
              <w:right w:val="single" w:sz="8" w:space="0" w:color="DDD5CB"/>
            </w:tcBorders>
          </w:tcPr>
          <w:p>
            <w:r>
              <w:t>allTimeIncome - allTimeExpense - allTimeInvestment - allTimeInsurance</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Tracked Investments</w:t>
            </w:r>
          </w:p>
        </w:tc>
        <w:tc>
          <w:tcPr>
            <w:tcW w:type="dxa" w:w="7920"/>
            <w:vAlign w:val="center"/>
            <w:tcBorders>
              <w:top w:val="single" w:sz="8" w:space="0" w:color="DDD5CB"/>
              <w:left w:val="single" w:sz="8" w:space="0" w:color="DDD5CB"/>
              <w:bottom w:val="single" w:sz="8" w:space="0" w:color="DDD5CB"/>
              <w:right w:val="single" w:sz="8" w:space="0" w:color="DDD5CB"/>
            </w:tcBorders>
          </w:tcPr>
          <w:p>
            <w:r>
              <w:t>nonMarketInvestment + liveHoldingsValue when holdings exist, otherwise cash-ledger market investment total</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Tracked Net Worth</w:t>
            </w:r>
          </w:p>
        </w:tc>
        <w:tc>
          <w:tcPr>
            <w:tcW w:type="dxa" w:w="7920"/>
            <w:vAlign w:val="center"/>
            <w:tcBorders>
              <w:top w:val="single" w:sz="8" w:space="0" w:color="DDD5CB"/>
              <w:left w:val="single" w:sz="8" w:space="0" w:color="DDD5CB"/>
              <w:bottom w:val="single" w:sz="8" w:space="0" w:color="DDD5CB"/>
              <w:right w:val="single" w:sz="8" w:space="0" w:color="DDD5CB"/>
            </w:tcBorders>
          </w:tcPr>
          <w:p>
            <w:r>
              <w:t>trackedCash + trackedInvestments + manualAssetTotal - liabilityTotal</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Recurring Outflow</w:t>
            </w:r>
          </w:p>
        </w:tc>
        <w:tc>
          <w:tcPr>
            <w:tcW w:type="dxa" w:w="7920"/>
            <w:vAlign w:val="center"/>
            <w:tcBorders>
              <w:top w:val="single" w:sz="8" w:space="0" w:color="DDD5CB"/>
              <w:left w:val="single" w:sz="8" w:space="0" w:color="DDD5CB"/>
              <w:bottom w:val="single" w:sz="8" w:space="0" w:color="DDD5CB"/>
              <w:right w:val="single" w:sz="8" w:space="0" w:color="DDD5CB"/>
            </w:tcBorders>
          </w:tcPr>
          <w:p>
            <w:r>
              <w:t>sum of selected-period recurring non-income transactions</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Budget Progress</w:t>
            </w:r>
          </w:p>
        </w:tc>
        <w:tc>
          <w:tcPr>
            <w:tcW w:type="dxa" w:w="7920"/>
            <w:vAlign w:val="center"/>
            <w:tcBorders>
              <w:top w:val="single" w:sz="8" w:space="0" w:color="DDD5CB"/>
              <w:left w:val="single" w:sz="8" w:space="0" w:color="DDD5CB"/>
              <w:bottom w:val="single" w:sz="8" w:space="0" w:color="DDD5CB"/>
              <w:right w:val="single" w:sz="8" w:space="0" w:color="DDD5CB"/>
            </w:tcBorders>
          </w:tcPr>
          <w:p>
            <w:r>
              <w:t>selected-period expense / budget</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Unusual Transaction</w:t>
            </w:r>
          </w:p>
        </w:tc>
        <w:tc>
          <w:tcPr>
            <w:tcW w:type="dxa" w:w="7920"/>
            <w:vAlign w:val="center"/>
            <w:tcBorders>
              <w:top w:val="single" w:sz="8" w:space="0" w:color="DDD5CB"/>
              <w:left w:val="single" w:sz="8" w:space="0" w:color="DDD5CB"/>
              <w:bottom w:val="single" w:sz="8" w:space="0" w:color="DDD5CB"/>
              <w:right w:val="single" w:sz="8" w:space="0" w:color="DDD5CB"/>
            </w:tcBorders>
          </w:tcPr>
          <w:p>
            <w:r>
              <w:t>expense above 1.8x its category historical average when enough history exists</w:t>
            </w:r>
          </w:p>
        </w:tc>
      </w:tr>
    </w:tbl>
    <w:p>
      <w:pPr>
        <w:pStyle w:val="Heading1"/>
      </w:pPr>
      <w:r>
        <w:t>7. Authentication System</w:t>
      </w:r>
    </w:p>
    <w:p>
      <w:pPr>
        <w:spacing w:after="160"/>
      </w:pPr>
      <w:r>
        <w:t>Authentication began as a broader experiment with email/password, Google, Apple, and phone OTP. In practice, the stable and user-friendly production mix became email/password, Google sign-in, and email-link magic-link authentication. Apple sign-in and phone OTP were removed from the experience because they added setup and deliverability complexity without improving reliability for this product.</w:t>
      </w:r>
    </w:p>
    <w:p>
      <w:pPr>
        <w:pStyle w:val="ListBullet"/>
        <w:spacing w:after="80"/>
      </w:pPr>
      <w:r>
        <w:t>Email/password supports account creation and sign-in.</w:t>
      </w:r>
    </w:p>
    <w:p>
      <w:pPr>
        <w:pStyle w:val="ListBullet"/>
        <w:spacing w:after="80"/>
      </w:pPr>
      <w:r>
        <w:t>Google OAuth supports quick sign-in with popup or redirect depending on screen size.</w:t>
      </w:r>
    </w:p>
    <w:p>
      <w:pPr>
        <w:pStyle w:val="ListBullet"/>
        <w:spacing w:after="80"/>
      </w:pPr>
      <w:r>
        <w:t>Email link sign-in acts as a passwordless fallback and is completed with `isSignInWithEmailLink` and `signInWithEmailLink`.</w:t>
      </w:r>
    </w:p>
    <w:p>
      <w:pPr>
        <w:pStyle w:val="ListBullet"/>
        <w:spacing w:after="80"/>
      </w:pPr>
      <w:r>
        <w:t>Settings exposes email verification, password reset, and verified email change via Firebase APIs.</w:t>
      </w:r>
    </w:p>
    <w:p>
      <w:pPr>
        <w:spacing w:after="160"/>
      </w:pPr>
      <w:r>
        <w:t>Important implementation note: the app stores the pending email-link address in local storage, sends the link with `sendSignInLinkToEmail`, and on return completes the flow by checking the current URL for a sign-in link. If the saved email is missing, the user is prompted to re-enter the same email address for completion.</w:t>
      </w:r>
    </w:p>
    <w:p>
      <w:pPr>
        <w:pStyle w:val="Heading1"/>
      </w:pPr>
      <w:r>
        <w:t>8. AI Insights Platform</w:t>
      </w:r>
    </w:p>
    <w:p>
      <w:pPr>
        <w:spacing w:after="160"/>
      </w:pPr>
      <w:r>
        <w:t>The AI layer was designed in two tiers. Tier one is a local heuristic analysis engine inside `src/lib/ai.js`, which can always generate structured advice even when no provider key is available. Tier two is the provider-backed AI runtime, which sends structured financial context to OpenAI, OpenRouter, or Anthropic through the backend proxy.</w:t>
      </w:r>
    </w:p>
    <w:tbl>
      <w:tblPr>
        <w:tblStyle w:val="TableGrid"/>
        <w:tblW w:type="auto" w:w="0"/>
        <w:tblLook w:firstColumn="1" w:firstRow="1" w:lastColumn="0" w:lastRow="0" w:noHBand="0" w:noVBand="1" w:val="04A0"/>
      </w:tblPr>
      <w:tblGrid>
        <w:gridCol w:w="4997"/>
        <w:gridCol w:w="4997"/>
      </w:tblGrid>
      <w:tr>
        <w:tc>
          <w:tcPr>
            <w:tcW w:type="dxa" w:w="2880"/>
            <w:vAlign w:val="center"/>
            <w:shd w:fill="F3EBDD"/>
            <w:tcBorders>
              <w:top w:val="single" w:sz="8" w:space="0" w:color="DDD5CB"/>
              <w:left w:val="single" w:sz="8" w:space="0" w:color="DDD5CB"/>
              <w:bottom w:val="single" w:sz="8" w:space="0" w:color="DDD5CB"/>
              <w:right w:val="single" w:sz="8" w:space="0" w:color="DDD5CB"/>
            </w:tcBorders>
          </w:tcPr>
          <w:p>
            <w:r>
              <w:rPr>
                <w:b/>
              </w:rPr>
              <w:t>Part</w:t>
            </w:r>
          </w:p>
        </w:tc>
        <w:tc>
          <w:tcPr>
            <w:tcW w:type="dxa" w:w="7632"/>
            <w:vAlign w:val="center"/>
            <w:shd w:fill="F3EBDD"/>
            <w:tcBorders>
              <w:top w:val="single" w:sz="8" w:space="0" w:color="DDD5CB"/>
              <w:left w:val="single" w:sz="8" w:space="0" w:color="DDD5CB"/>
              <w:bottom w:val="single" w:sz="8" w:space="0" w:color="DDD5CB"/>
              <w:right w:val="single" w:sz="8" w:space="0" w:color="DDD5CB"/>
            </w:tcBorders>
          </w:tcPr>
          <w:p>
            <w:r>
              <w:rPr>
                <w:b/>
              </w:rPr>
              <w:t>Responsibility</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`src/lib/ai.js`</w:t>
            </w:r>
          </w:p>
        </w:tc>
        <w:tc>
          <w:tcPr>
            <w:tcW w:type="dxa" w:w="7632"/>
            <w:vAlign w:val="center"/>
            <w:tcBorders>
              <w:top w:val="single" w:sz="8" w:space="0" w:color="DDD5CB"/>
              <w:left w:val="single" w:sz="8" w:space="0" w:color="DDD5CB"/>
              <w:bottom w:val="single" w:sz="8" w:space="0" w:color="DDD5CB"/>
              <w:right w:val="single" w:sz="8" w:space="0" w:color="DDD5CB"/>
            </w:tcBorders>
          </w:tcPr>
          <w:p>
            <w:r>
              <w:t>Build heuristic report, ask-answer fallback logic, backend health fetch, API client requests</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`server/ai-runtime.mjs`</w:t>
            </w:r>
          </w:p>
        </w:tc>
        <w:tc>
          <w:tcPr>
            <w:tcW w:type="dxa" w:w="7632"/>
            <w:vAlign w:val="center"/>
            <w:tcBorders>
              <w:top w:val="single" w:sz="8" w:space="0" w:color="DDD5CB"/>
              <w:left w:val="single" w:sz="8" w:space="0" w:color="DDD5CB"/>
              <w:bottom w:val="single" w:sz="8" w:space="0" w:color="DDD5CB"/>
              <w:right w:val="single" w:sz="8" w:space="0" w:color="DDD5CB"/>
            </w:tcBorders>
          </w:tcPr>
          <w:p>
            <w:r>
              <w:t>Load local `.env`, report backend health, build prompts, route provider calls, format JSON responses</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`server/ai-proxy.mjs`</w:t>
            </w:r>
          </w:p>
        </w:tc>
        <w:tc>
          <w:tcPr>
            <w:tcW w:type="dxa" w:w="7632"/>
            <w:vAlign w:val="center"/>
            <w:tcBorders>
              <w:top w:val="single" w:sz="8" w:space="0" w:color="DDD5CB"/>
              <w:left w:val="single" w:sz="8" w:space="0" w:color="DDD5CB"/>
              <w:bottom w:val="single" w:sz="8" w:space="0" w:color="DDD5CB"/>
              <w:right w:val="single" w:sz="8" w:space="0" w:color="DDD5CB"/>
            </w:tcBorders>
          </w:tcPr>
          <w:p>
            <w:r>
              <w:t>Local Node HTTP server for development on port 8787</w:t>
            </w:r>
          </w:p>
        </w:tc>
      </w:tr>
      <w:tr>
        <w:tc>
          <w:tcPr>
            <w:tcW w:type="dxa" w:w="2880"/>
            <w:vAlign w:val="center"/>
            <w:tcBorders>
              <w:top w:val="single" w:sz="8" w:space="0" w:color="DDD5CB"/>
              <w:left w:val="single" w:sz="8" w:space="0" w:color="DDD5CB"/>
              <w:bottom w:val="single" w:sz="8" w:space="0" w:color="DDD5CB"/>
              <w:right w:val="single" w:sz="8" w:space="0" w:color="DDD5CB"/>
            </w:tcBorders>
          </w:tcPr>
          <w:p>
            <w:r>
              <w:t>`api/ai/*.js`</w:t>
            </w:r>
          </w:p>
        </w:tc>
        <w:tc>
          <w:tcPr>
            <w:tcW w:type="dxa" w:w="7632"/>
            <w:vAlign w:val="center"/>
            <w:tcBorders>
              <w:top w:val="single" w:sz="8" w:space="0" w:color="DDD5CB"/>
              <w:left w:val="single" w:sz="8" w:space="0" w:color="DDD5CB"/>
              <w:bottom w:val="single" w:sz="8" w:space="0" w:color="DDD5CB"/>
              <w:right w:val="single" w:sz="8" w:space="0" w:color="DDD5CB"/>
            </w:tcBorders>
          </w:tcPr>
          <w:p>
            <w:r>
              <w:t>Vercel production handlers for health, insights, and chat query endpoints</w:t>
            </w:r>
          </w:p>
        </w:tc>
      </w:tr>
    </w:tbl>
    <w:p>
      <w:pPr>
        <w:spacing w:after="160"/>
      </w:pPr>
      <w:r>
        <w:t>The browser never stores provider keys. The frontend only chooses provider and model name. Secret keys live in the proxy environment, both locally and in Vercel.</w:t>
      </w:r>
    </w:p>
    <w:p>
      <w:pPr>
        <w:pStyle w:val="Heading1"/>
      </w:pPr>
      <w:r>
        <w:t>9. Market Holdings and Valuation Platform</w:t>
      </w:r>
    </w:p>
    <w:p>
      <w:pPr>
        <w:spacing w:after="160"/>
      </w:pPr>
      <w:r>
        <w:t>Market holdings were added as a real portfolio layer rather than being treated as plain cashflow categories. Users can record stock and mutual-fund holdings separately from transaction entries, then refresh values manually once per day.</w:t>
      </w:r>
    </w:p>
    <w:tbl>
      <w:tblPr>
        <w:tblStyle w:val="TableGrid"/>
        <w:tblW w:type="auto" w:w="0"/>
        <w:tblLook w:firstColumn="1" w:firstRow="1" w:lastColumn="0" w:lastRow="0" w:noHBand="0" w:noVBand="1" w:val="04A0"/>
      </w:tblPr>
      <w:tblGrid>
        <w:gridCol w:w="4997"/>
        <w:gridCol w:w="4997"/>
      </w:tblGrid>
      <w:tr>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Part</w:t>
            </w:r>
          </w:p>
        </w:tc>
        <w:tc>
          <w:tcPr>
            <w:tcW w:type="dxa" w:w="7344"/>
            <w:vAlign w:val="center"/>
            <w:shd w:fill="F3EBDD"/>
            <w:tcBorders>
              <w:top w:val="single" w:sz="8" w:space="0" w:color="DDD5CB"/>
              <w:left w:val="single" w:sz="8" w:space="0" w:color="DDD5CB"/>
              <w:bottom w:val="single" w:sz="8" w:space="0" w:color="DDD5CB"/>
              <w:right w:val="single" w:sz="8" w:space="0" w:color="DDD5CB"/>
            </w:tcBorders>
          </w:tcPr>
          <w:p>
            <w:r>
              <w:rPr>
                <w:b/>
              </w:rPr>
              <w:t>Responsibility</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`src/components/PortfolioHoldings.jsx`</w:t>
            </w:r>
          </w:p>
        </w:tc>
        <w:tc>
          <w:tcPr>
            <w:tcW w:type="dxa" w:w="7344"/>
            <w:vAlign w:val="center"/>
            <w:tcBorders>
              <w:top w:val="single" w:sz="8" w:space="0" w:color="DDD5CB"/>
              <w:left w:val="single" w:sz="8" w:space="0" w:color="DDD5CB"/>
              <w:bottom w:val="single" w:sz="8" w:space="0" w:color="DDD5CB"/>
              <w:right w:val="single" w:sz="8" w:space="0" w:color="DDD5CB"/>
            </w:tcBorders>
          </w:tcPr>
          <w:p>
            <w:r>
              <w:t>Holding entry, instrument search, refresh action, portfolio summaries, and snapshot presentation</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`src/lib/market.js`</w:t>
            </w:r>
          </w:p>
        </w:tc>
        <w:tc>
          <w:tcPr>
            <w:tcW w:type="dxa" w:w="7344"/>
            <w:vAlign w:val="center"/>
            <w:tcBorders>
              <w:top w:val="single" w:sz="8" w:space="0" w:color="DDD5CB"/>
              <w:left w:val="single" w:sz="8" w:space="0" w:color="DDD5CB"/>
              <w:bottom w:val="single" w:sz="8" w:space="0" w:color="DDD5CB"/>
              <w:right w:val="single" w:sz="8" w:space="0" w:color="DDD5CB"/>
            </w:tcBorders>
          </w:tcPr>
          <w:p>
            <w:r>
              <w:t>Frontend API client for market search and refresh</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`server/market-runtime.mjs`</w:t>
            </w:r>
          </w:p>
        </w:tc>
        <w:tc>
          <w:tcPr>
            <w:tcW w:type="dxa" w:w="7344"/>
            <w:vAlign w:val="center"/>
            <w:tcBorders>
              <w:top w:val="single" w:sz="8" w:space="0" w:color="DDD5CB"/>
              <w:left w:val="single" w:sz="8" w:space="0" w:color="DDD5CB"/>
              <w:bottom w:val="single" w:sz="8" w:space="0" w:color="DDD5CB"/>
              <w:right w:val="single" w:sz="8" w:space="0" w:color="DDD5CB"/>
            </w:tcBorders>
          </w:tcPr>
          <w:p>
            <w:r>
              <w:t>Search stock/mutual-fund instruments and refresh holdings using provider APIs</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`api/market/*.js`</w:t>
            </w:r>
          </w:p>
        </w:tc>
        <w:tc>
          <w:tcPr>
            <w:tcW w:type="dxa" w:w="7344"/>
            <w:vAlign w:val="center"/>
            <w:tcBorders>
              <w:top w:val="single" w:sz="8" w:space="0" w:color="DDD5CB"/>
              <w:left w:val="single" w:sz="8" w:space="0" w:color="DDD5CB"/>
              <w:bottom w:val="single" w:sz="8" w:space="0" w:color="DDD5CB"/>
              <w:right w:val="single" w:sz="8" w:space="0" w:color="DDD5CB"/>
            </w:tcBorders>
          </w:tcPr>
          <w:p>
            <w:r>
              <w:t>Vercel production handlers for market search and refresh</w:t>
            </w:r>
          </w:p>
        </w:tc>
      </w:tr>
    </w:tbl>
    <w:p>
      <w:pPr>
        <w:pStyle w:val="ListBullet"/>
        <w:spacing w:after="80"/>
      </w:pPr>
      <w:r>
        <w:t>Stocks use Alpha Vantage daily series data on a manual refresh model to stay within free-tier request limits.</w:t>
      </w:r>
    </w:p>
    <w:p>
      <w:pPr>
        <w:pStyle w:val="ListBullet"/>
        <w:spacing w:after="80"/>
      </w:pPr>
      <w:r>
        <w:t>Mutual funds use a free AMFI-backed NAV feed, which is appropriate for daily refresh instead of intraday pricing.</w:t>
      </w:r>
    </w:p>
    <w:p>
      <w:pPr>
        <w:pStyle w:val="ListBullet"/>
        <w:spacing w:after="80"/>
      </w:pPr>
      <w:r>
        <w:t>Holdings store units, average cost, account/broker context, latest fetched price, current value, invested value, and unrealized P&amp;L.</w:t>
      </w:r>
    </w:p>
    <w:p>
      <w:pPr>
        <w:pStyle w:val="ListBullet"/>
        <w:spacing w:after="80"/>
      </w:pPr>
      <w:r>
        <w:t>Daily snapshot history is stored with the user profile so portfolio value survives restarts and cross-device access.</w:t>
      </w:r>
    </w:p>
    <w:p>
      <w:pPr>
        <w:pStyle w:val="Heading1"/>
      </w:pPr>
      <w:r>
        <w:t>10. Local Development Workflow</w:t>
      </w:r>
    </w:p>
    <w:p>
      <w:pPr>
        <w:spacing w:after="160"/>
      </w:pPr>
      <w:r>
        <w:t>Local development ended up with two execution modes: frontend-only via Vite, and combined app-plus-proxy via a helper script. The combined workflow is preferred because AI routes depend on the local proxy.</w:t>
      </w:r>
    </w:p>
    <w:tbl>
      <w:tblPr>
        <w:tblStyle w:val="TableGrid"/>
        <w:tblW w:type="auto" w:w="0"/>
        <w:tblLook w:firstColumn="1" w:firstRow="1" w:lastColumn="0" w:lastRow="0" w:noHBand="0" w:noVBand="1" w:val="04A0"/>
      </w:tblPr>
      <w:tblGrid>
        <w:gridCol w:w="4997"/>
        <w:gridCol w:w="4997"/>
      </w:tblGrid>
      <w:tr>
        <w:tc>
          <w:tcPr>
            <w:tcW w:type="dxa" w:w="2592"/>
            <w:vAlign w:val="center"/>
            <w:shd w:fill="F3EBDD"/>
            <w:tcBorders>
              <w:top w:val="single" w:sz="8" w:space="0" w:color="DDD5CB"/>
              <w:left w:val="single" w:sz="8" w:space="0" w:color="DDD5CB"/>
              <w:bottom w:val="single" w:sz="8" w:space="0" w:color="DDD5CB"/>
              <w:right w:val="single" w:sz="8" w:space="0" w:color="DDD5CB"/>
            </w:tcBorders>
          </w:tcPr>
          <w:p>
            <w:r>
              <w:rPr>
                <w:b/>
              </w:rPr>
              <w:t>Command</w:t>
            </w:r>
          </w:p>
        </w:tc>
        <w:tc>
          <w:tcPr>
            <w:tcW w:type="dxa" w:w="7920"/>
            <w:vAlign w:val="center"/>
            <w:shd w:fill="F3EBDD"/>
            <w:tcBorders>
              <w:top w:val="single" w:sz="8" w:space="0" w:color="DDD5CB"/>
              <w:left w:val="single" w:sz="8" w:space="0" w:color="DDD5CB"/>
              <w:bottom w:val="single" w:sz="8" w:space="0" w:color="DDD5CB"/>
              <w:right w:val="single" w:sz="8" w:space="0" w:color="DDD5CB"/>
            </w:tcBorders>
          </w:tcPr>
          <w:p>
            <w:r>
              <w:rPr>
                <w:b/>
              </w:rPr>
              <w:t>Purpose</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dev`</w:t>
            </w:r>
          </w:p>
        </w:tc>
        <w:tc>
          <w:tcPr>
            <w:tcW w:type="dxa" w:w="7920"/>
            <w:vAlign w:val="center"/>
            <w:tcBorders>
              <w:top w:val="single" w:sz="8" w:space="0" w:color="DDD5CB"/>
              <w:left w:val="single" w:sz="8" w:space="0" w:color="DDD5CB"/>
              <w:bottom w:val="single" w:sz="8" w:space="0" w:color="DDD5CB"/>
              <w:right w:val="single" w:sz="8" w:space="0" w:color="DDD5CB"/>
            </w:tcBorders>
          </w:tcPr>
          <w:p>
            <w:r>
              <w:t>Start the Vite frontend only</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proxy`</w:t>
            </w:r>
          </w:p>
        </w:tc>
        <w:tc>
          <w:tcPr>
            <w:tcW w:type="dxa" w:w="7920"/>
            <w:vAlign w:val="center"/>
            <w:tcBorders>
              <w:top w:val="single" w:sz="8" w:space="0" w:color="DDD5CB"/>
              <w:left w:val="single" w:sz="8" w:space="0" w:color="DDD5CB"/>
              <w:bottom w:val="single" w:sz="8" w:space="0" w:color="DDD5CB"/>
              <w:right w:val="single" w:sz="8" w:space="0" w:color="DDD5CB"/>
            </w:tcBorders>
          </w:tcPr>
          <w:p>
            <w:r>
              <w:t>Start the local AI proxy at 127.0.0.1:8787</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dev:full`</w:t>
            </w:r>
          </w:p>
        </w:tc>
        <w:tc>
          <w:tcPr>
            <w:tcW w:type="dxa" w:w="7920"/>
            <w:vAlign w:val="center"/>
            <w:tcBorders>
              <w:top w:val="single" w:sz="8" w:space="0" w:color="DDD5CB"/>
              <w:left w:val="single" w:sz="8" w:space="0" w:color="DDD5CB"/>
              <w:bottom w:val="single" w:sz="8" w:space="0" w:color="DDD5CB"/>
              <w:right w:val="single" w:sz="8" w:space="0" w:color="DDD5CB"/>
            </w:tcBorders>
          </w:tcPr>
          <w:p>
            <w:r>
              <w:t>Start both Vite and the AI proxy together</w:t>
            </w:r>
          </w:p>
        </w:tc>
      </w:tr>
      <w:tr>
        <w:tc>
          <w:tcPr>
            <w:tcW w:type="dxa" w:w="2592"/>
            <w:vAlign w:val="center"/>
            <w:tcBorders>
              <w:top w:val="single" w:sz="8" w:space="0" w:color="DDD5CB"/>
              <w:left w:val="single" w:sz="8" w:space="0" w:color="DDD5CB"/>
              <w:bottom w:val="single" w:sz="8" w:space="0" w:color="DDD5CB"/>
              <w:right w:val="single" w:sz="8" w:space="0" w:color="DDD5CB"/>
            </w:tcBorders>
          </w:tcPr>
          <w:p>
            <w:r>
              <w:t>`npm run build`</w:t>
            </w:r>
          </w:p>
        </w:tc>
        <w:tc>
          <w:tcPr>
            <w:tcW w:type="dxa" w:w="7920"/>
            <w:vAlign w:val="center"/>
            <w:tcBorders>
              <w:top w:val="single" w:sz="8" w:space="0" w:color="DDD5CB"/>
              <w:left w:val="single" w:sz="8" w:space="0" w:color="DDD5CB"/>
              <w:bottom w:val="single" w:sz="8" w:space="0" w:color="DDD5CB"/>
              <w:right w:val="single" w:sz="8" w:space="0" w:color="DDD5CB"/>
            </w:tcBorders>
          </w:tcPr>
          <w:p>
            <w:r>
              <w:t>Create a production build and validate bundling</w:t>
            </w:r>
          </w:p>
        </w:tc>
      </w:tr>
    </w:tbl>
    <w:p>
      <w:pPr>
        <w:spacing w:after="160"/>
      </w:pPr>
      <w:r>
        <w:t>The Vite dev server proxies `/api/*` to the local AI proxy, so local AI failures often come down to whether port 8787 is listening. Once that was understood, the stable local workflow became running both services together rather than starting them separately and accidentally losing the proxy.</w:t>
      </w:r>
    </w:p>
    <w:p>
      <w:pPr>
        <w:pStyle w:val="Heading1"/>
      </w:pPr>
      <w:r>
        <w:t>11. Production Deployment on Vercel</w:t>
      </w:r>
    </w:p>
    <w:p>
      <w:pPr>
        <w:spacing w:after="160"/>
      </w:pPr>
      <w:r>
        <w:t>The frontend deploys to Vercel as a static React application. The backend runtimes deploy to Vercel by placing handlers in the `/api/ai` and `/api/market` directories. This is critical: the local Node proxy used in development is not available automatically in production.</w:t>
      </w:r>
    </w:p>
    <w:p>
      <w:pPr>
        <w:pStyle w:val="ListBullet"/>
        <w:spacing w:after="80"/>
      </w:pPr>
      <w:r>
        <w:t>The app frontend is built by Vite and served by Vercel.</w:t>
      </w:r>
    </w:p>
    <w:p>
      <w:pPr>
        <w:pStyle w:val="ListBullet"/>
        <w:spacing w:after="80"/>
      </w:pPr>
      <w:r>
        <w:t>The `/api/ai/health`, `/api/ai/insights`, and `/api/ai/query` routes are deployed as Vercel functions.</w:t>
      </w:r>
    </w:p>
    <w:p>
      <w:pPr>
        <w:pStyle w:val="ListBullet"/>
        <w:spacing w:after="80"/>
      </w:pPr>
      <w:r>
        <w:t>The `/api/market/search` and `/api/market/refresh` routes are deployed as Vercel functions for portfolio search and refresh.</w:t>
      </w:r>
    </w:p>
    <w:p>
      <w:pPr>
        <w:pStyle w:val="ListBullet"/>
        <w:spacing w:after="80"/>
      </w:pPr>
      <w:r>
        <w:t>The Vercel project stores runtime secrets as environment variables, then the app is redeployed so the new variables are visible to the functions.</w:t>
      </w:r>
    </w:p>
    <w:p>
      <w:pPr>
        <w:pStyle w:val="ListBullet"/>
        <w:spacing w:after="80"/>
      </w:pPr>
      <w:r>
        <w:t>Production AI failures were solved by converting handlers to Node-style `export default async function handler(req, res)` functions and redeploying.</w:t>
      </w:r>
    </w:p>
    <w:p>
      <w:pPr>
        <w:spacing w:after="160"/>
      </w:pPr>
      <w:r>
        <w:t>Deployment also required standard Git hygiene. Secrets accidentally committed to `.env` triggered GitHub push protection. The durable fix was to add `.env` to `.gitignore`, remove it from Git tracking, amend the offending commit, and rotate exposed provider keys.</w:t>
      </w:r>
    </w:p>
    <w:p>
      <w:pPr>
        <w:pStyle w:val="Heading1"/>
      </w:pPr>
      <w:r>
        <w:t>12. Environment Variables and Secrets</w:t>
      </w:r>
    </w:p>
    <w:tbl>
      <w:tblPr>
        <w:tblStyle w:val="TableGrid"/>
        <w:tblW w:type="auto" w:w="0"/>
        <w:tblLook w:firstColumn="1" w:firstRow="1" w:lastColumn="0" w:lastRow="0" w:noHBand="0" w:noVBand="1" w:val="04A0"/>
      </w:tblPr>
      <w:tblGrid>
        <w:gridCol w:w="3331"/>
        <w:gridCol w:w="3331"/>
        <w:gridCol w:w="3331"/>
      </w:tblGrid>
      <w:tr>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Variable</w:t>
            </w:r>
          </w:p>
        </w:tc>
        <w:tc>
          <w:tcPr>
            <w:tcW w:type="dxa" w:w="3456"/>
            <w:vAlign w:val="center"/>
            <w:shd w:fill="F3EBDD"/>
            <w:tcBorders>
              <w:top w:val="single" w:sz="8" w:space="0" w:color="DDD5CB"/>
              <w:left w:val="single" w:sz="8" w:space="0" w:color="DDD5CB"/>
              <w:bottom w:val="single" w:sz="8" w:space="0" w:color="DDD5CB"/>
              <w:right w:val="single" w:sz="8" w:space="0" w:color="DDD5CB"/>
            </w:tcBorders>
          </w:tcPr>
          <w:p>
            <w:r>
              <w:rPr>
                <w:b/>
              </w:rPr>
              <w:t>Used for</w:t>
            </w:r>
          </w:p>
        </w:tc>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Where set</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AI_PROXY_HOST</w:t>
            </w:r>
          </w:p>
        </w:tc>
        <w:tc>
          <w:tcPr>
            <w:tcW w:type="dxa" w:w="3456"/>
            <w:vAlign w:val="center"/>
            <w:tcBorders>
              <w:top w:val="single" w:sz="8" w:space="0" w:color="DDD5CB"/>
              <w:left w:val="single" w:sz="8" w:space="0" w:color="DDD5CB"/>
              <w:bottom w:val="single" w:sz="8" w:space="0" w:color="DDD5CB"/>
              <w:right w:val="single" w:sz="8" w:space="0" w:color="DDD5CB"/>
            </w:tcBorders>
          </w:tcPr>
          <w:p>
            <w:r>
              <w:t>Local proxy host</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AI_PROXY_PORT</w:t>
            </w:r>
          </w:p>
        </w:tc>
        <w:tc>
          <w:tcPr>
            <w:tcW w:type="dxa" w:w="3456"/>
            <w:vAlign w:val="center"/>
            <w:tcBorders>
              <w:top w:val="single" w:sz="8" w:space="0" w:color="DDD5CB"/>
              <w:left w:val="single" w:sz="8" w:space="0" w:color="DDD5CB"/>
              <w:bottom w:val="single" w:sz="8" w:space="0" w:color="DDD5CB"/>
              <w:right w:val="single" w:sz="8" w:space="0" w:color="DDD5CB"/>
            </w:tcBorders>
          </w:tcPr>
          <w:p>
            <w:r>
              <w:t>Local proxy port</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OPENAI_API_KEY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OpenAI provider access</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OPENAI_MODEL</w:t>
            </w:r>
          </w:p>
        </w:tc>
        <w:tc>
          <w:tcPr>
            <w:tcW w:type="dxa" w:w="3456"/>
            <w:vAlign w:val="center"/>
            <w:tcBorders>
              <w:top w:val="single" w:sz="8" w:space="0" w:color="DDD5CB"/>
              <w:left w:val="single" w:sz="8" w:space="0" w:color="DDD5CB"/>
              <w:bottom w:val="single" w:sz="8" w:space="0" w:color="DDD5CB"/>
              <w:right w:val="single" w:sz="8" w:space="0" w:color="DDD5CB"/>
            </w:tcBorders>
          </w:tcPr>
          <w:p>
            <w:r>
              <w:t>OpenAI model selection</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OPENROUTER_API_KEY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OpenRouter provider access</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OPENROUTER_MODEL</w:t>
            </w:r>
          </w:p>
        </w:tc>
        <w:tc>
          <w:tcPr>
            <w:tcW w:type="dxa" w:w="3456"/>
            <w:vAlign w:val="center"/>
            <w:tcBorders>
              <w:top w:val="single" w:sz="8" w:space="0" w:color="DDD5CB"/>
              <w:left w:val="single" w:sz="8" w:space="0" w:color="DDD5CB"/>
              <w:bottom w:val="single" w:sz="8" w:space="0" w:color="DDD5CB"/>
              <w:right w:val="single" w:sz="8" w:space="0" w:color="DDD5CB"/>
            </w:tcBorders>
          </w:tcPr>
          <w:p>
            <w:r>
              <w:t>OpenRouter model selection</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ANTHROPIC_API_KEY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Anthropic provider access</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ANTHROPIC_MODEL</w:t>
            </w:r>
          </w:p>
        </w:tc>
        <w:tc>
          <w:tcPr>
            <w:tcW w:type="dxa" w:w="3456"/>
            <w:vAlign w:val="center"/>
            <w:tcBorders>
              <w:top w:val="single" w:sz="8" w:space="0" w:color="DDD5CB"/>
              <w:left w:val="single" w:sz="8" w:space="0" w:color="DDD5CB"/>
              <w:bottom w:val="single" w:sz="8" w:space="0" w:color="DDD5CB"/>
              <w:right w:val="single" w:sz="8" w:space="0" w:color="DDD5CB"/>
            </w:tcBorders>
          </w:tcPr>
          <w:p>
            <w:r>
              <w:t>Anthropic model selection</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ALPHA_VANTAGE_API_KEY</w:t>
            </w:r>
          </w:p>
        </w:tc>
        <w:tc>
          <w:tcPr>
            <w:tcW w:type="dxa" w:w="3456"/>
            <w:vAlign w:val="center"/>
            <w:tcBorders>
              <w:top w:val="single" w:sz="8" w:space="0" w:color="DDD5CB"/>
              <w:left w:val="single" w:sz="8" w:space="0" w:color="DDD5CB"/>
              <w:bottom w:val="single" w:sz="8" w:space="0" w:color="DDD5CB"/>
              <w:right w:val="single" w:sz="8" w:space="0" w:color="DDD5CB"/>
            </w:tcBorders>
          </w:tcPr>
          <w:p>
            <w:r>
              <w:t>Stock symbol search and daily price refresh</w:t>
            </w:r>
          </w:p>
        </w:tc>
        <w:tc>
          <w:tcPr>
            <w:tcW w:type="dxa" w:w="3168"/>
            <w:vAlign w:val="center"/>
            <w:tcBorders>
              <w:top w:val="single" w:sz="8" w:space="0" w:color="DDD5CB"/>
              <w:left w:val="single" w:sz="8" w:space="0" w:color="DDD5CB"/>
              <w:bottom w:val="single" w:sz="8" w:space="0" w:color="DDD5CB"/>
              <w:right w:val="single" w:sz="8" w:space="0" w:color="DDD5CB"/>
            </w:tcBorders>
          </w:tcPr>
          <w:p>
            <w:r>
              <w:t>Local `.env` and Vercel env</w:t>
            </w:r>
          </w:p>
        </w:tc>
      </w:tr>
    </w:tbl>
    <w:p>
      <w:pPr>
        <w:spacing w:after="160"/>
      </w:pPr>
      <w:r>
        <w:t>A useful guardrail was added to backend health reporting: if an OpenAI-style key appears to be stored under `OPENROUTER_API_KEY`, the health payload warns about it. This helped catch a provider mismatch during setup.</w:t>
      </w:r>
    </w:p>
    <w:p>
      <w:pPr>
        <w:pStyle w:val="Heading1"/>
      </w:pPr>
      <w:r>
        <w:t>13. Security and Reliability Decisions</w:t>
      </w:r>
    </w:p>
    <w:p>
      <w:pPr>
        <w:pStyle w:val="ListBullet"/>
        <w:spacing w:after="80"/>
      </w:pPr>
      <w:r>
        <w:t>Provider keys were moved out of the browser and into backend env vars.</w:t>
      </w:r>
    </w:p>
    <w:p>
      <w:pPr>
        <w:pStyle w:val="ListBullet"/>
        <w:spacing w:after="80"/>
      </w:pPr>
      <w:r>
        <w:t>Free market-data usage is limited to manual refresh and a small daily volume, which keeps stock pricing practical without paid infrastructure.</w:t>
      </w:r>
    </w:p>
    <w:p>
      <w:pPr>
        <w:pStyle w:val="ListBullet"/>
        <w:spacing w:after="80"/>
      </w:pPr>
      <w:r>
        <w:t>Email-link auth replaced more fragile phone and Apple experiments for this product context.</w:t>
      </w:r>
    </w:p>
    <w:p>
      <w:pPr>
        <w:pStyle w:val="ListBullet"/>
        <w:spacing w:after="80"/>
      </w:pPr>
      <w:r>
        <w:t>Git tracking of `.env` was removed to satisfy push protection and reduce accidental exposure.</w:t>
      </w:r>
    </w:p>
    <w:p>
      <w:pPr>
        <w:pStyle w:val="ListBullet"/>
        <w:spacing w:after="80"/>
      </w:pPr>
      <w:r>
        <w:t>The app falls back to local heuristics when provider-backed AI is unavailable, so users still receive useful financial guidance.</w:t>
      </w:r>
    </w:p>
    <w:p>
      <w:pPr>
        <w:pStyle w:val="ListBullet"/>
        <w:spacing w:after="80"/>
      </w:pPr>
      <w:r>
        <w:t>The account area includes verification, password reset, and email change to make identity management feel complete rather than bolted on.</w:t>
      </w:r>
    </w:p>
    <w:p>
      <w:pPr>
        <w:pStyle w:val="ListBullet"/>
        <w:spacing w:after="80"/>
      </w:pPr>
      <w:r>
        <w:t>User-owned planning state now persists in Firebase instead of depending only on browser-local storage, so it survives dev-server restarts and cross-device sign-in.</w:t>
      </w:r>
    </w:p>
    <w:p>
      <w:pPr>
        <w:pStyle w:val="Heading1"/>
      </w:pPr>
      <w:r>
        <w:t>14. Performance Optimization and Code Splitting</w:t>
      </w:r>
    </w:p>
    <w:p>
      <w:pPr>
        <w:spacing w:after="160"/>
      </w:pPr>
      <w:r>
        <w:t>Once the live app was stable, the next improvement was performance. The app had grown large enough that a single big production bundle was no longer ideal. The final step was to lazy-load feature screens and split vendor chunks by responsibility.</w:t>
      </w:r>
    </w:p>
    <w:tbl>
      <w:tblPr>
        <w:tblStyle w:val="TableGrid"/>
        <w:tblW w:type="auto" w:w="0"/>
        <w:tblLook w:firstColumn="1" w:firstRow="1" w:lastColumn="0" w:lastRow="0" w:noHBand="0" w:noVBand="1" w:val="04A0"/>
      </w:tblPr>
      <w:tblGrid>
        <w:gridCol w:w="4997"/>
        <w:gridCol w:w="4997"/>
      </w:tblGrid>
      <w:tr>
        <w:tc>
          <w:tcPr>
            <w:tcW w:type="dxa" w:w="3312"/>
            <w:vAlign w:val="center"/>
            <w:shd w:fill="F3EBDD"/>
            <w:tcBorders>
              <w:top w:val="single" w:sz="8" w:space="0" w:color="DDD5CB"/>
              <w:left w:val="single" w:sz="8" w:space="0" w:color="DDD5CB"/>
              <w:bottom w:val="single" w:sz="8" w:space="0" w:color="DDD5CB"/>
              <w:right w:val="single" w:sz="8" w:space="0" w:color="DDD5CB"/>
            </w:tcBorders>
          </w:tcPr>
          <w:p>
            <w:r>
              <w:rPr>
                <w:b/>
              </w:rPr>
              <w:t>Optimization</w:t>
            </w:r>
          </w:p>
        </w:tc>
        <w:tc>
          <w:tcPr>
            <w:tcW w:type="dxa" w:w="7488"/>
            <w:vAlign w:val="center"/>
            <w:shd w:fill="F3EBDD"/>
            <w:tcBorders>
              <w:top w:val="single" w:sz="8" w:space="0" w:color="DDD5CB"/>
              <w:left w:val="single" w:sz="8" w:space="0" w:color="DDD5CB"/>
              <w:bottom w:val="single" w:sz="8" w:space="0" w:color="DDD5CB"/>
              <w:right w:val="single" w:sz="8" w:space="0" w:color="DDD5CB"/>
            </w:tcBorders>
          </w:tcPr>
          <w:p>
            <w:r>
              <w:rPr>
                <w:b/>
              </w:rPr>
              <w:t>Effect</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Lazy-loaded tab components</w:t>
            </w:r>
          </w:p>
        </w:tc>
        <w:tc>
          <w:tcPr>
            <w:tcW w:type="dxa" w:w="7488"/>
            <w:vAlign w:val="center"/>
            <w:tcBorders>
              <w:top w:val="single" w:sz="8" w:space="0" w:color="DDD5CB"/>
              <w:left w:val="single" w:sz="8" w:space="0" w:color="DDD5CB"/>
              <w:bottom w:val="single" w:sz="8" w:space="0" w:color="DDD5CB"/>
              <w:right w:val="single" w:sz="8" w:space="0" w:color="DDD5CB"/>
            </w:tcBorders>
          </w:tcPr>
          <w:p>
            <w:r>
              <w:t>Users only download analytics, AI, goals, import, or net-worth code when those areas are opened</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Manual vendor chunking in Vite</w:t>
            </w:r>
          </w:p>
        </w:tc>
        <w:tc>
          <w:tcPr>
            <w:tcW w:type="dxa" w:w="7488"/>
            <w:vAlign w:val="center"/>
            <w:tcBorders>
              <w:top w:val="single" w:sz="8" w:space="0" w:color="DDD5CB"/>
              <w:left w:val="single" w:sz="8" w:space="0" w:color="DDD5CB"/>
              <w:bottom w:val="single" w:sz="8" w:space="0" w:color="DDD5CB"/>
              <w:right w:val="single" w:sz="8" w:space="0" w:color="DDD5CB"/>
            </w:tcBorders>
          </w:tcPr>
          <w:p>
            <w:r>
              <w:t>React, Firebase, and chart libraries are split into separate chunks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Small tab loading state</w:t>
            </w:r>
          </w:p>
        </w:tc>
        <w:tc>
          <w:tcPr>
            <w:tcW w:type="dxa" w:w="7488"/>
            <w:vAlign w:val="center"/>
            <w:tcBorders>
              <w:top w:val="single" w:sz="8" w:space="0" w:color="DDD5CB"/>
              <w:left w:val="single" w:sz="8" w:space="0" w:color="DDD5CB"/>
              <w:bottom w:val="single" w:sz="8" w:space="0" w:color="DDD5CB"/>
              <w:right w:val="single" w:sz="8" w:space="0" w:color="DDD5CB"/>
            </w:tcBorders>
          </w:tcPr>
          <w:p>
            <w:r>
              <w:t>Transitions feel intentional while a deferred screen chunk loads</w:t>
            </w:r>
          </w:p>
        </w:tc>
      </w:tr>
    </w:tbl>
    <w:p>
      <w:pPr>
        <w:spacing w:after="160"/>
      </w:pPr>
      <w:r>
        <w:t>After optimization, the main app shell bundle dropped into a much healthier range, with charting and Firebase each living in their own chunks instead of being paid on first paint.</w:t>
      </w:r>
    </w:p>
    <w:p>
      <w:pPr>
        <w:pStyle w:val="Heading1"/>
      </w:pPr>
      <w:r>
        <w:t>15. Implementation Journey and Major Decisions</w:t>
      </w:r>
    </w:p>
    <w:p>
      <w:pPr>
        <w:jc w:val="center"/>
      </w:pPr>
      <w:r>
        <w:drawing>
          <wp:inline xmlns:a="http://schemas.openxmlformats.org/drawingml/2006/main" xmlns:pic="http://schemas.openxmlformats.org/drawingml/2006/picture">
            <wp:extent cx="6309360" cy="3435096"/>
            <wp:docPr id="2" name="Picture 2"/>
            <wp:cNvGraphicFramePr>
              <a:graphicFrameLocks noChangeAspect="1"/>
            </wp:cNvGraphicFramePr>
            <a:graphic>
              <a:graphicData uri="http://schemas.openxmlformats.org/drawingml/2006/picture">
                <pic:pic>
                  <pic:nvPicPr>
                    <pic:cNvPr id="0" name="finwise-delivery-flow.png"/>
                    <pic:cNvPicPr/>
                  </pic:nvPicPr>
                  <pic:blipFill>
                    <a:blip r:embed="rId11"/>
                    <a:stretch>
                      <a:fillRect/>
                    </a:stretch>
                  </pic:blipFill>
                  <pic:spPr>
                    <a:xfrm>
                      <a:off x="0" y="0"/>
                      <a:ext cx="6309360" cy="3435096"/>
                    </a:xfrm>
                    <a:prstGeom prst="rect"/>
                  </pic:spPr>
                </pic:pic>
              </a:graphicData>
            </a:graphic>
          </wp:inline>
        </w:drawing>
      </w:r>
    </w:p>
    <w:p>
      <w:pPr>
        <w:jc w:val="center"/>
      </w:pPr>
      <w:r>
        <w:rPr>
          <w:i/>
          <w:color w:val="6B6560"/>
        </w:rPr>
        <w:t>Figure 2. Implementation and delivery lifecycle</w:t>
      </w:r>
    </w:p>
    <w:p>
      <w:pPr>
        <w:spacing w:after="160"/>
      </w:pPr>
      <w:r>
        <w:t>The project evolved in layers rather than one rewrite. First the finance surface area expanded. Then the giant root component was split into modular screens. Then AI security moved server-side. Then the auth model was simplified. Finally, the UX and performance passes tightened the product for real-world use.</w:t>
      </w:r>
    </w:p>
    <w:p>
      <w:pPr>
        <w:pStyle w:val="Heading1"/>
      </w:pPr>
      <w:r>
        <w:t>16. Testing and Validation Checklist</w:t>
      </w:r>
    </w:p>
    <w:p>
      <w:pPr>
        <w:pStyle w:val="ListBullet"/>
        <w:spacing w:after="80"/>
      </w:pPr>
      <w:r>
        <w:t>Build verification with `npm run build` after each meaningful implementation phase</w:t>
      </w:r>
    </w:p>
    <w:p>
      <w:pPr>
        <w:pStyle w:val="ListBullet"/>
        <w:spacing w:after="80"/>
      </w:pPr>
      <w:r>
        <w:t>Health checks against local AI proxy and Vite-proxied `/api/ai/health`</w:t>
      </w:r>
    </w:p>
    <w:p>
      <w:pPr>
        <w:pStyle w:val="ListBullet"/>
        <w:spacing w:after="80"/>
      </w:pPr>
      <w:r>
        <w:t>Market search and refresh verification against local `/api/market/*` routes</w:t>
      </w:r>
    </w:p>
    <w:p>
      <w:pPr>
        <w:pStyle w:val="ListBullet"/>
        <w:spacing w:after="80"/>
      </w:pPr>
      <w:r>
        <w:t>End-to-end AI query checks against configured providers</w:t>
      </w:r>
    </w:p>
    <w:p>
      <w:pPr>
        <w:pStyle w:val="ListBullet"/>
        <w:spacing w:after="80"/>
      </w:pPr>
      <w:r>
        <w:t>Authentication checks for email/password, Google, magic-link completion, password reset, and verification flows</w:t>
      </w:r>
    </w:p>
    <w:p>
      <w:pPr>
        <w:pStyle w:val="ListBullet"/>
        <w:spacing w:after="80"/>
      </w:pPr>
      <w:r>
        <w:t>Visual refinement of AI layouts, dashboard diagnostics, and settings/account flows</w:t>
      </w:r>
    </w:p>
    <w:p>
      <w:pPr>
        <w:pStyle w:val="ListBullet"/>
        <w:spacing w:after="80"/>
      </w:pPr>
      <w:r>
        <w:t>Production validation on Vercel after env changes and handler updates</w:t>
      </w:r>
    </w:p>
    <w:p>
      <w:pPr>
        <w:pStyle w:val="Heading1"/>
      </w:pPr>
      <w:r>
        <w:t>17. Troubleshooting Reference</w:t>
      </w:r>
    </w:p>
    <w:tbl>
      <w:tblPr>
        <w:tblStyle w:val="TableGrid"/>
        <w:tblW w:type="auto" w:w="0"/>
        <w:tblLook w:firstColumn="1" w:firstRow="1" w:lastColumn="0" w:lastRow="0" w:noHBand="0" w:noVBand="1" w:val="04A0"/>
      </w:tblPr>
      <w:tblGrid>
        <w:gridCol w:w="3331"/>
        <w:gridCol w:w="3331"/>
        <w:gridCol w:w="3331"/>
      </w:tblGrid>
      <w:tr>
        <w:tc>
          <w:tcPr>
            <w:tcW w:type="dxa" w:w="3168"/>
            <w:vAlign w:val="center"/>
            <w:shd w:fill="F3EBDD"/>
            <w:tcBorders>
              <w:top w:val="single" w:sz="8" w:space="0" w:color="DDD5CB"/>
              <w:left w:val="single" w:sz="8" w:space="0" w:color="DDD5CB"/>
              <w:bottom w:val="single" w:sz="8" w:space="0" w:color="DDD5CB"/>
              <w:right w:val="single" w:sz="8" w:space="0" w:color="DDD5CB"/>
            </w:tcBorders>
          </w:tcPr>
          <w:p>
            <w:r>
              <w:rPr>
                <w:b/>
              </w:rPr>
              <w:t>Symptom</w:t>
            </w:r>
          </w:p>
        </w:tc>
        <w:tc>
          <w:tcPr>
            <w:tcW w:type="dxa" w:w="3312"/>
            <w:vAlign w:val="center"/>
            <w:shd w:fill="F3EBDD"/>
            <w:tcBorders>
              <w:top w:val="single" w:sz="8" w:space="0" w:color="DDD5CB"/>
              <w:left w:val="single" w:sz="8" w:space="0" w:color="DDD5CB"/>
              <w:bottom w:val="single" w:sz="8" w:space="0" w:color="DDD5CB"/>
              <w:right w:val="single" w:sz="8" w:space="0" w:color="DDD5CB"/>
            </w:tcBorders>
          </w:tcPr>
          <w:p>
            <w:r>
              <w:rPr>
                <w:b/>
              </w:rPr>
              <w:t>Likely cause</w:t>
            </w:r>
          </w:p>
        </w:tc>
        <w:tc>
          <w:tcPr>
            <w:tcW w:type="dxa" w:w="4176"/>
            <w:vAlign w:val="center"/>
            <w:shd w:fill="F3EBDD"/>
            <w:tcBorders>
              <w:top w:val="single" w:sz="8" w:space="0" w:color="DDD5CB"/>
              <w:left w:val="single" w:sz="8" w:space="0" w:color="DDD5CB"/>
              <w:bottom w:val="single" w:sz="8" w:space="0" w:color="DDD5CB"/>
              <w:right w:val="single" w:sz="8" w:space="0" w:color="DDD5CB"/>
            </w:tcBorders>
          </w:tcPr>
          <w:p>
            <w:r>
              <w:rPr>
                <w:b/>
              </w:rPr>
              <w:t>Recommended fix</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`ECONNREFUSED 127.0.0.1:8787` in local AI requests</w:t>
            </w:r>
          </w:p>
        </w:tc>
        <w:tc>
          <w:tcPr>
            <w:tcW w:type="dxa" w:w="3312"/>
            <w:vAlign w:val="center"/>
            <w:tcBorders>
              <w:top w:val="single" w:sz="8" w:space="0" w:color="DDD5CB"/>
              <w:left w:val="single" w:sz="8" w:space="0" w:color="DDD5CB"/>
              <w:bottom w:val="single" w:sz="8" w:space="0" w:color="DDD5CB"/>
              <w:right w:val="single" w:sz="8" w:space="0" w:color="DDD5CB"/>
            </w:tcBorders>
          </w:tcPr>
          <w:p>
            <w:r>
              <w:t>Local proxy not running</w:t>
            </w:r>
          </w:p>
        </w:tc>
        <w:tc>
          <w:tcPr>
            <w:tcW w:type="dxa" w:w="4176"/>
            <w:vAlign w:val="center"/>
            <w:tcBorders>
              <w:top w:val="single" w:sz="8" w:space="0" w:color="DDD5CB"/>
              <w:left w:val="single" w:sz="8" w:space="0" w:color="DDD5CB"/>
              <w:bottom w:val="single" w:sz="8" w:space="0" w:color="DDD5CB"/>
              <w:right w:val="single" w:sz="8" w:space="0" w:color="DDD5CB"/>
            </w:tcBorders>
          </w:tcPr>
          <w:p>
            <w:r>
              <w:t>Use `npm run dev:full` or start `npm run proxy` separately</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AI falls back to local reasoning in Vercel</w:t>
            </w:r>
          </w:p>
        </w:tc>
        <w:tc>
          <w:tcPr>
            <w:tcW w:type="dxa" w:w="3312"/>
            <w:vAlign w:val="center"/>
            <w:tcBorders>
              <w:top w:val="single" w:sz="8" w:space="0" w:color="DDD5CB"/>
              <w:left w:val="single" w:sz="8" w:space="0" w:color="DDD5CB"/>
              <w:bottom w:val="single" w:sz="8" w:space="0" w:color="DDD5CB"/>
              <w:right w:val="single" w:sz="8" w:space="0" w:color="DDD5CB"/>
            </w:tcBorders>
          </w:tcPr>
          <w:p>
            <w:r>
              <w:t>No deployed `/api` runtime, missing env vars, or no redeploy</w:t>
            </w:r>
          </w:p>
        </w:tc>
        <w:tc>
          <w:tcPr>
            <w:tcW w:type="dxa" w:w="4176"/>
            <w:vAlign w:val="center"/>
            <w:tcBorders>
              <w:top w:val="single" w:sz="8" w:space="0" w:color="DDD5CB"/>
              <w:left w:val="single" w:sz="8" w:space="0" w:color="DDD5CB"/>
              <w:bottom w:val="single" w:sz="8" w:space="0" w:color="DDD5CB"/>
              <w:right w:val="single" w:sz="8" w:space="0" w:color="DDD5CB"/>
            </w:tcBorders>
          </w:tcPr>
          <w:p>
            <w:r>
              <w:t>Ensure `api/ai/*` exists, env vars are set in Vercel, and trigger a new deployment</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Market holdings vanish after a server restart</w:t>
            </w:r>
          </w:p>
        </w:tc>
        <w:tc>
          <w:tcPr>
            <w:tcW w:type="dxa" w:w="3312"/>
            <w:vAlign w:val="center"/>
            <w:tcBorders>
              <w:top w:val="single" w:sz="8" w:space="0" w:color="DDD5CB"/>
              <w:left w:val="single" w:sz="8" w:space="0" w:color="DDD5CB"/>
              <w:bottom w:val="single" w:sz="8" w:space="0" w:color="DDD5CB"/>
              <w:right w:val="single" w:sz="8" w:space="0" w:color="DDD5CB"/>
            </w:tcBorders>
          </w:tcPr>
          <w:p>
            <w:r>
              <w:t>State only existed in browser storage or pre-migration local data</w:t>
            </w:r>
          </w:p>
        </w:tc>
        <w:tc>
          <w:tcPr>
            <w:tcW w:type="dxa" w:w="4176"/>
            <w:vAlign w:val="center"/>
            <w:tcBorders>
              <w:top w:val="single" w:sz="8" w:space="0" w:color="DDD5CB"/>
              <w:left w:val="single" w:sz="8" w:space="0" w:color="DDD5CB"/>
              <w:bottom w:val="single" w:sz="8" w:space="0" w:color="DDD5CB"/>
              <w:right w:val="single" w:sz="8" w:space="0" w:color="DDD5CB"/>
            </w:tcBorders>
          </w:tcPr>
          <w:p>
            <w:r>
              <w:t>Persist holdings in Firebase-backed `meta/appState` and let the first authenticated load migrate local fallback state</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Stock refresh/search fails</w:t>
            </w:r>
          </w:p>
        </w:tc>
        <w:tc>
          <w:tcPr>
            <w:tcW w:type="dxa" w:w="3312"/>
            <w:vAlign w:val="center"/>
            <w:tcBorders>
              <w:top w:val="single" w:sz="8" w:space="0" w:color="DDD5CB"/>
              <w:left w:val="single" w:sz="8" w:space="0" w:color="DDD5CB"/>
              <w:bottom w:val="single" w:sz="8" w:space="0" w:color="DDD5CB"/>
              <w:right w:val="single" w:sz="8" w:space="0" w:color="DDD5CB"/>
            </w:tcBorders>
          </w:tcPr>
          <w:p>
            <w:r>
              <w:t>Missing Alpha Vantage key or free-tier provider response issue</w:t>
            </w:r>
          </w:p>
        </w:tc>
        <w:tc>
          <w:tcPr>
            <w:tcW w:type="dxa" w:w="4176"/>
            <w:vAlign w:val="center"/>
            <w:tcBorders>
              <w:top w:val="single" w:sz="8" w:space="0" w:color="DDD5CB"/>
              <w:left w:val="single" w:sz="8" w:space="0" w:color="DDD5CB"/>
              <w:bottom w:val="single" w:sz="8" w:space="0" w:color="DDD5CB"/>
              <w:right w:val="single" w:sz="8" w:space="0" w:color="DDD5CB"/>
            </w:tcBorders>
          </w:tcPr>
          <w:p>
            <w:r>
              <w:t>Add `ALPHA_VANTAGE_API_KEY`, check daily limits, and retry manual refresh</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Magic link shows success but email appears missing</w:t>
            </w:r>
          </w:p>
        </w:tc>
        <w:tc>
          <w:tcPr>
            <w:tcW w:type="dxa" w:w="3312"/>
            <w:vAlign w:val="center"/>
            <w:tcBorders>
              <w:top w:val="single" w:sz="8" w:space="0" w:color="DDD5CB"/>
              <w:left w:val="single" w:sz="8" w:space="0" w:color="DDD5CB"/>
              <w:bottom w:val="single" w:sz="8" w:space="0" w:color="DDD5CB"/>
              <w:right w:val="single" w:sz="8" w:space="0" w:color="DDD5CB"/>
            </w:tcBorders>
          </w:tcPr>
          <w:p>
            <w:r>
              <w:t>Delivery landed in Promotions or Spam</w:t>
            </w:r>
          </w:p>
        </w:tc>
        <w:tc>
          <w:tcPr>
            <w:tcW w:type="dxa" w:w="4176"/>
            <w:vAlign w:val="center"/>
            <w:tcBorders>
              <w:top w:val="single" w:sz="8" w:space="0" w:color="DDD5CB"/>
              <w:left w:val="single" w:sz="8" w:space="0" w:color="DDD5CB"/>
              <w:bottom w:val="single" w:sz="8" w:space="0" w:color="DDD5CB"/>
              <w:right w:val="single" w:sz="8" w:space="0" w:color="DDD5CB"/>
            </w:tcBorders>
          </w:tcPr>
          <w:p>
            <w:r>
              <w:t>Check inbox tabs and spam folder, then brand templates later if needed</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Phone test numbers work but real OTP fails</w:t>
            </w:r>
          </w:p>
        </w:tc>
        <w:tc>
          <w:tcPr>
            <w:tcW w:type="dxa" w:w="3312"/>
            <w:vAlign w:val="center"/>
            <w:tcBorders>
              <w:top w:val="single" w:sz="8" w:space="0" w:color="DDD5CB"/>
              <w:left w:val="single" w:sz="8" w:space="0" w:color="DDD5CB"/>
              <w:bottom w:val="single" w:sz="8" w:space="0" w:color="DDD5CB"/>
              <w:right w:val="single" w:sz="8" w:space="0" w:color="DDD5CB"/>
            </w:tcBorders>
          </w:tcPr>
          <w:p>
            <w:r>
              <w:t>Firebase production SMS constraints and billing/setup complexity</w:t>
            </w:r>
          </w:p>
        </w:tc>
        <w:tc>
          <w:tcPr>
            <w:tcW w:type="dxa" w:w="4176"/>
            <w:vAlign w:val="center"/>
            <w:tcBorders>
              <w:top w:val="single" w:sz="8" w:space="0" w:color="DDD5CB"/>
              <w:left w:val="single" w:sz="8" w:space="0" w:color="DDD5CB"/>
              <w:bottom w:val="single" w:sz="8" w:space="0" w:color="DDD5CB"/>
              <w:right w:val="single" w:sz="8" w:space="0" w:color="DDD5CB"/>
            </w:tcBorders>
          </w:tcPr>
          <w:p>
            <w:r>
              <w:t>Remove or deprioritize phone OTP for this product</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GitHub push rejected</w:t>
            </w:r>
          </w:p>
        </w:tc>
        <w:tc>
          <w:tcPr>
            <w:tcW w:type="dxa" w:w="3312"/>
            <w:vAlign w:val="center"/>
            <w:tcBorders>
              <w:top w:val="single" w:sz="8" w:space="0" w:color="DDD5CB"/>
              <w:left w:val="single" w:sz="8" w:space="0" w:color="DDD5CB"/>
              <w:bottom w:val="single" w:sz="8" w:space="0" w:color="DDD5CB"/>
              <w:right w:val="single" w:sz="8" w:space="0" w:color="DDD5CB"/>
            </w:tcBorders>
          </w:tcPr>
          <w:p>
            <w:r>
              <w:t>Secret detected in commit history</w:t>
            </w:r>
          </w:p>
        </w:tc>
        <w:tc>
          <w:tcPr>
            <w:tcW w:type="dxa" w:w="4176"/>
            <w:vAlign w:val="center"/>
            <w:tcBorders>
              <w:top w:val="single" w:sz="8" w:space="0" w:color="DDD5CB"/>
              <w:left w:val="single" w:sz="8" w:space="0" w:color="DDD5CB"/>
              <w:bottom w:val="single" w:sz="8" w:space="0" w:color="DDD5CB"/>
              <w:right w:val="single" w:sz="8" w:space="0" w:color="DDD5CB"/>
            </w:tcBorders>
          </w:tcPr>
          <w:p>
            <w:r>
              <w:t>Remove `.env` from tracking, amend commit, rotate keys, push again</w:t>
            </w:r>
          </w:p>
        </w:tc>
      </w:tr>
      <w:tr>
        <w:tc>
          <w:tcPr>
            <w:tcW w:type="dxa" w:w="3168"/>
            <w:vAlign w:val="center"/>
            <w:tcBorders>
              <w:top w:val="single" w:sz="8" w:space="0" w:color="DDD5CB"/>
              <w:left w:val="single" w:sz="8" w:space="0" w:color="DDD5CB"/>
              <w:bottom w:val="single" w:sz="8" w:space="0" w:color="DDD5CB"/>
              <w:right w:val="single" w:sz="8" w:space="0" w:color="DDD5CB"/>
            </w:tcBorders>
          </w:tcPr>
          <w:p>
            <w:r>
              <w:t>OpenRouter or OpenAI requests fail</w:t>
            </w:r>
          </w:p>
        </w:tc>
        <w:tc>
          <w:tcPr>
            <w:tcW w:type="dxa" w:w="3312"/>
            <w:vAlign w:val="center"/>
            <w:tcBorders>
              <w:top w:val="single" w:sz="8" w:space="0" w:color="DDD5CB"/>
              <w:left w:val="single" w:sz="8" w:space="0" w:color="DDD5CB"/>
              <w:bottom w:val="single" w:sz="8" w:space="0" w:color="DDD5CB"/>
              <w:right w:val="single" w:sz="8" w:space="0" w:color="DDD5CB"/>
            </w:tcBorders>
          </w:tcPr>
          <w:p>
            <w:r>
              <w:t>Wrong key placement, quota problem, or unsupported model</w:t>
            </w:r>
          </w:p>
        </w:tc>
        <w:tc>
          <w:tcPr>
            <w:tcW w:type="dxa" w:w="4176"/>
            <w:vAlign w:val="center"/>
            <w:tcBorders>
              <w:top w:val="single" w:sz="8" w:space="0" w:color="DDD5CB"/>
              <w:left w:val="single" w:sz="8" w:space="0" w:color="DDD5CB"/>
              <w:bottom w:val="single" w:sz="8" w:space="0" w:color="DDD5CB"/>
              <w:right w:val="single" w:sz="8" w:space="0" w:color="DDD5CB"/>
            </w:tcBorders>
          </w:tcPr>
          <w:p>
            <w:r>
              <w:t>Verify provider key name, billing/quota, and model selection</w:t>
            </w:r>
          </w:p>
        </w:tc>
      </w:tr>
    </w:tbl>
    <w:p>
      <w:pPr>
        <w:pStyle w:val="Heading1"/>
      </w:pPr>
      <w:r>
        <w:t>18. File and Folder Reference</w:t>
      </w:r>
    </w:p>
    <w:tbl>
      <w:tblPr>
        <w:tblStyle w:val="TableGrid"/>
        <w:tblW w:type="auto" w:w="0"/>
        <w:tblLook w:firstColumn="1" w:firstRow="1" w:lastColumn="0" w:lastRow="0" w:noHBand="0" w:noVBand="1" w:val="04A0"/>
      </w:tblPr>
      <w:tblGrid>
        <w:gridCol w:w="4997"/>
        <w:gridCol w:w="4997"/>
      </w:tblGrid>
      <w:tr>
        <w:tc>
          <w:tcPr>
            <w:tcW w:type="dxa" w:w="3312"/>
            <w:vAlign w:val="center"/>
            <w:shd w:fill="F3EBDD"/>
            <w:tcBorders>
              <w:top w:val="single" w:sz="8" w:space="0" w:color="DDD5CB"/>
              <w:left w:val="single" w:sz="8" w:space="0" w:color="DDD5CB"/>
              <w:bottom w:val="single" w:sz="8" w:space="0" w:color="DDD5CB"/>
              <w:right w:val="single" w:sz="8" w:space="0" w:color="DDD5CB"/>
            </w:tcBorders>
          </w:tcPr>
          <w:p>
            <w:r>
              <w:rPr>
                <w:b/>
              </w:rPr>
              <w:t>Path</w:t>
            </w:r>
          </w:p>
        </w:tc>
        <w:tc>
          <w:tcPr>
            <w:tcW w:type="dxa" w:w="7488"/>
            <w:vAlign w:val="center"/>
            <w:shd w:fill="F3EBDD"/>
            <w:tcBorders>
              <w:top w:val="single" w:sz="8" w:space="0" w:color="DDD5CB"/>
              <w:left w:val="single" w:sz="8" w:space="0" w:color="DDD5CB"/>
              <w:bottom w:val="single" w:sz="8" w:space="0" w:color="DDD5CB"/>
              <w:right w:val="single" w:sz="8" w:space="0" w:color="DDD5CB"/>
            </w:tcBorders>
          </w:tcPr>
          <w:p>
            <w:r>
              <w:rPr>
                <w:b/>
              </w:rPr>
              <w:t>Role</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`src/App.jsx`</w:t>
            </w:r>
          </w:p>
        </w:tc>
        <w:tc>
          <w:tcPr>
            <w:tcW w:type="dxa" w:w="7488"/>
            <w:vAlign w:val="center"/>
            <w:tcBorders>
              <w:top w:val="single" w:sz="8" w:space="0" w:color="DDD5CB"/>
              <w:left w:val="single" w:sz="8" w:space="0" w:color="DDD5CB"/>
              <w:bottom w:val="single" w:sz="8" w:space="0" w:color="DDD5CB"/>
              <w:right w:val="single" w:sz="8" w:space="0" w:color="DDD5CB"/>
            </w:tcBorders>
          </w:tcPr>
          <w:p>
            <w:r>
              <w:t>Stateful app shell, routing by tab, derived metrics, auth orchestration</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`src/components/*`</w:t>
            </w:r>
          </w:p>
        </w:tc>
        <w:tc>
          <w:tcPr>
            <w:tcW w:type="dxa" w:w="7488"/>
            <w:vAlign w:val="center"/>
            <w:tcBorders>
              <w:top w:val="single" w:sz="8" w:space="0" w:color="DDD5CB"/>
              <w:left w:val="single" w:sz="8" w:space="0" w:color="DDD5CB"/>
              <w:bottom w:val="single" w:sz="8" w:space="0" w:color="DDD5CB"/>
              <w:right w:val="single" w:sz="8" w:space="0" w:color="DDD5CB"/>
            </w:tcBorders>
          </w:tcPr>
          <w:p>
            <w:r>
              <w:t>Feature modules: dashboard, AI, analytics, goals, net worth, import, history, settings, login</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`src/components/PortfolioHoldings.jsx`</w:t>
            </w:r>
          </w:p>
        </w:tc>
        <w:tc>
          <w:tcPr>
            <w:tcW w:type="dxa" w:w="7488"/>
            <w:vAlign w:val="center"/>
            <w:tcBorders>
              <w:top w:val="single" w:sz="8" w:space="0" w:color="DDD5CB"/>
              <w:left w:val="single" w:sz="8" w:space="0" w:color="DDD5CB"/>
              <w:bottom w:val="single" w:sz="8" w:space="0" w:color="DDD5CB"/>
              <w:right w:val="single" w:sz="8" w:space="0" w:color="DDD5CB"/>
            </w:tcBorders>
          </w:tcPr>
          <w:p>
            <w:r>
              <w:t>Dedicated holdings entry, price refresh, and portfolio summary surface</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`src/lib/utils.js`</w:t>
            </w:r>
          </w:p>
        </w:tc>
        <w:tc>
          <w:tcPr>
            <w:tcW w:type="dxa" w:w="7488"/>
            <w:vAlign w:val="center"/>
            <w:tcBorders>
              <w:top w:val="single" w:sz="8" w:space="0" w:color="DDD5CB"/>
              <w:left w:val="single" w:sz="8" w:space="0" w:color="DDD5CB"/>
              <w:bottom w:val="single" w:sz="8" w:space="0" w:color="DDD5CB"/>
              <w:right w:val="single" w:sz="8" w:space="0" w:color="DDD5CB"/>
            </w:tcBorders>
          </w:tcPr>
          <w:p>
            <w:r>
              <w:t>Formatting helpers, date logic, pie aggregation, storage keys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`src/lib/ai.js`</w:t>
            </w:r>
          </w:p>
        </w:tc>
        <w:tc>
          <w:tcPr>
            <w:tcW w:type="dxa" w:w="7488"/>
            <w:vAlign w:val="center"/>
            <w:tcBorders>
              <w:top w:val="single" w:sz="8" w:space="0" w:color="DDD5CB"/>
              <w:left w:val="single" w:sz="8" w:space="0" w:color="DDD5CB"/>
              <w:bottom w:val="single" w:sz="8" w:space="0" w:color="DDD5CB"/>
              <w:right w:val="single" w:sz="8" w:space="0" w:color="DDD5CB"/>
            </w:tcBorders>
          </w:tcPr>
          <w:p>
            <w:r>
              <w:t>Heuristic report generation and frontend AI request helpers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`src/lib/market.js`</w:t>
            </w:r>
          </w:p>
        </w:tc>
        <w:tc>
          <w:tcPr>
            <w:tcW w:type="dxa" w:w="7488"/>
            <w:vAlign w:val="center"/>
            <w:tcBorders>
              <w:top w:val="single" w:sz="8" w:space="0" w:color="DDD5CB"/>
              <w:left w:val="single" w:sz="8" w:space="0" w:color="DDD5CB"/>
              <w:bottom w:val="single" w:sz="8" w:space="0" w:color="DDD5CB"/>
              <w:right w:val="single" w:sz="8" w:space="0" w:color="DDD5CB"/>
            </w:tcBorders>
          </w:tcPr>
          <w:p>
            <w:r>
              <w:t>Frontend market search and refresh API helpers</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`src/styles/appStyles.js`</w:t>
            </w:r>
          </w:p>
        </w:tc>
        <w:tc>
          <w:tcPr>
            <w:tcW w:type="dxa" w:w="7488"/>
            <w:vAlign w:val="center"/>
            <w:tcBorders>
              <w:top w:val="single" w:sz="8" w:space="0" w:color="DDD5CB"/>
              <w:left w:val="single" w:sz="8" w:space="0" w:color="DDD5CB"/>
              <w:bottom w:val="single" w:sz="8" w:space="0" w:color="DDD5CB"/>
              <w:right w:val="single" w:sz="8" w:space="0" w:color="DDD5CB"/>
            </w:tcBorders>
          </w:tcPr>
          <w:p>
            <w:r>
              <w:t>Global visual system</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`src/firebase.js`</w:t>
            </w:r>
          </w:p>
        </w:tc>
        <w:tc>
          <w:tcPr>
            <w:tcW w:type="dxa" w:w="7488"/>
            <w:vAlign w:val="center"/>
            <w:tcBorders>
              <w:top w:val="single" w:sz="8" w:space="0" w:color="DDD5CB"/>
              <w:left w:val="single" w:sz="8" w:space="0" w:color="DDD5CB"/>
              <w:bottom w:val="single" w:sz="8" w:space="0" w:color="DDD5CB"/>
              <w:right w:val="single" w:sz="8" w:space="0" w:color="DDD5CB"/>
            </w:tcBorders>
          </w:tcPr>
          <w:p>
            <w:r>
              <w:t>Firebase bootstrapping</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`server/ai-runtime.mjs`</w:t>
            </w:r>
          </w:p>
        </w:tc>
        <w:tc>
          <w:tcPr>
            <w:tcW w:type="dxa" w:w="7488"/>
            <w:vAlign w:val="center"/>
            <w:tcBorders>
              <w:top w:val="single" w:sz="8" w:space="0" w:color="DDD5CB"/>
              <w:left w:val="single" w:sz="8" w:space="0" w:color="DDD5CB"/>
              <w:bottom w:val="single" w:sz="8" w:space="0" w:color="DDD5CB"/>
              <w:right w:val="single" w:sz="8" w:space="0" w:color="DDD5CB"/>
            </w:tcBorders>
          </w:tcPr>
          <w:p>
            <w:r>
              <w:t>Shared provider runtime and health logic</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`server/market-runtime.mjs`</w:t>
            </w:r>
          </w:p>
        </w:tc>
        <w:tc>
          <w:tcPr>
            <w:tcW w:type="dxa" w:w="7488"/>
            <w:vAlign w:val="center"/>
            <w:tcBorders>
              <w:top w:val="single" w:sz="8" w:space="0" w:color="DDD5CB"/>
              <w:left w:val="single" w:sz="8" w:space="0" w:color="DDD5CB"/>
              <w:bottom w:val="single" w:sz="8" w:space="0" w:color="DDD5CB"/>
              <w:right w:val="single" w:sz="8" w:space="0" w:color="DDD5CB"/>
            </w:tcBorders>
          </w:tcPr>
          <w:p>
            <w:r>
              <w:t>Shared market search and refresh runtime</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`server/ai-proxy.mjs`</w:t>
            </w:r>
          </w:p>
        </w:tc>
        <w:tc>
          <w:tcPr>
            <w:tcW w:type="dxa" w:w="7488"/>
            <w:vAlign w:val="center"/>
            <w:tcBorders>
              <w:top w:val="single" w:sz="8" w:space="0" w:color="DDD5CB"/>
              <w:left w:val="single" w:sz="8" w:space="0" w:color="DDD5CB"/>
              <w:bottom w:val="single" w:sz="8" w:space="0" w:color="DDD5CB"/>
              <w:right w:val="single" w:sz="8" w:space="0" w:color="DDD5CB"/>
            </w:tcBorders>
          </w:tcPr>
          <w:p>
            <w:r>
              <w:t>Local development AI proxy</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`api/ai/*.js`</w:t>
            </w:r>
          </w:p>
        </w:tc>
        <w:tc>
          <w:tcPr>
            <w:tcW w:type="dxa" w:w="7488"/>
            <w:vAlign w:val="center"/>
            <w:tcBorders>
              <w:top w:val="single" w:sz="8" w:space="0" w:color="DDD5CB"/>
              <w:left w:val="single" w:sz="8" w:space="0" w:color="DDD5CB"/>
              <w:bottom w:val="single" w:sz="8" w:space="0" w:color="DDD5CB"/>
              <w:right w:val="single" w:sz="8" w:space="0" w:color="DDD5CB"/>
            </w:tcBorders>
          </w:tcPr>
          <w:p>
            <w:r>
              <w:t>Production serverless AI handlers for Vercel</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`api/market/*.js`</w:t>
            </w:r>
          </w:p>
        </w:tc>
        <w:tc>
          <w:tcPr>
            <w:tcW w:type="dxa" w:w="7488"/>
            <w:vAlign w:val="center"/>
            <w:tcBorders>
              <w:top w:val="single" w:sz="8" w:space="0" w:color="DDD5CB"/>
              <w:left w:val="single" w:sz="8" w:space="0" w:color="DDD5CB"/>
              <w:bottom w:val="single" w:sz="8" w:space="0" w:color="DDD5CB"/>
              <w:right w:val="single" w:sz="8" w:space="0" w:color="DDD5CB"/>
            </w:tcBorders>
          </w:tcPr>
          <w:p>
            <w:r>
              <w:t>Production serverless market-data handlers for Vercel</w:t>
            </w:r>
          </w:p>
        </w:tc>
      </w:tr>
      <w:tr>
        <w:tc>
          <w:tcPr>
            <w:tcW w:type="dxa" w:w="3312"/>
            <w:vAlign w:val="center"/>
            <w:tcBorders>
              <w:top w:val="single" w:sz="8" w:space="0" w:color="DDD5CB"/>
              <w:left w:val="single" w:sz="8" w:space="0" w:color="DDD5CB"/>
              <w:bottom w:val="single" w:sz="8" w:space="0" w:color="DDD5CB"/>
              <w:right w:val="single" w:sz="8" w:space="0" w:color="DDD5CB"/>
            </w:tcBorders>
          </w:tcPr>
          <w:p>
            <w:r>
              <w:t>`vite.config.js`</w:t>
            </w:r>
          </w:p>
        </w:tc>
        <w:tc>
          <w:tcPr>
            <w:tcW w:type="dxa" w:w="7488"/>
            <w:vAlign w:val="center"/>
            <w:tcBorders>
              <w:top w:val="single" w:sz="8" w:space="0" w:color="DDD5CB"/>
              <w:left w:val="single" w:sz="8" w:space="0" w:color="DDD5CB"/>
              <w:bottom w:val="single" w:sz="8" w:space="0" w:color="DDD5CB"/>
              <w:right w:val="single" w:sz="8" w:space="0" w:color="DDD5CB"/>
            </w:tcBorders>
          </w:tcPr>
          <w:p>
            <w:r>
              <w:t>Dev proxy rules plus vendor chunk splitting</w:t>
            </w:r>
          </w:p>
        </w:tc>
      </w:tr>
    </w:tbl>
    <w:p>
      <w:pPr>
        <w:pStyle w:val="Heading1"/>
      </w:pPr>
      <w:r>
        <w:t>19. Recommended Next Steps</w:t>
      </w:r>
    </w:p>
    <w:p>
      <w:pPr>
        <w:pStyle w:val="ListBullet"/>
        <w:spacing w:after="80"/>
      </w:pPr>
      <w:r>
        <w:t>Brand the Firebase email templates so inbox trust is stronger and magic-link delivery feels more polished.</w:t>
      </w:r>
    </w:p>
    <w:p>
      <w:pPr>
        <w:pStyle w:val="ListBullet"/>
        <w:spacing w:after="80"/>
      </w:pPr>
      <w:r>
        <w:t>Introduce optional recurring automation or reminders based on budgets and goal pace.</w:t>
      </w:r>
    </w:p>
    <w:p>
      <w:pPr>
        <w:pStyle w:val="ListBullet"/>
        <w:spacing w:after="80"/>
      </w:pPr>
      <w:r>
        <w:t>Add richer onboarding data seeding for first-time users importing from bank statements.</w:t>
      </w:r>
    </w:p>
    <w:p>
      <w:pPr>
        <w:pStyle w:val="ListBullet"/>
        <w:spacing w:after="80"/>
      </w:pPr>
      <w:r>
        <w:t>Track release metrics such as AI usage, import completion rate, and goal creation rate after launch.</w:t>
      </w:r>
    </w:p>
    <w:p>
      <w:pPr>
        <w:pStyle w:val="ListBullet"/>
        <w:spacing w:after="80"/>
      </w:pPr>
      <w:r>
        <w:t>Extend market coverage with richer symbol hints, holding edit flows, and portfolio performance attribution once the core daily-refresh model is stable.</w:t>
      </w:r>
    </w:p>
    <w:p>
      <w:pPr>
        <w:sectPr>
          <w:footerReference w:type="default" r:id="rId9"/>
          <w:pgSz w:w="12240" w:h="15840"/>
          <w:pgMar w:top="1008" w:right="1123" w:bottom="1008" w:left="1123" w:header="720" w:footer="720" w:gutter="0"/>
          <w:cols w:space="720"/>
          <w:docGrid w:linePitch="360"/>
        </w:sectPr>
      </w:pPr>
    </w:p>
    <w:p>
      <w:pPr>
        <w:pStyle w:val="Heading1"/>
      </w:pPr>
      <w:r>
        <w:t>Appendix: Deployment Runbook</w:t>
      </w:r>
    </w:p>
    <w:p>
      <w:pPr>
        <w:pStyle w:val="ListBullet"/>
        <w:spacing w:after="80"/>
      </w:pPr>
      <w:r>
        <w:t>1. Confirm Firebase Authentication methods are enabled: Email/Password, Google, and Email Link.</w:t>
      </w:r>
    </w:p>
    <w:p>
      <w:pPr>
        <w:pStyle w:val="ListBullet"/>
        <w:spacing w:after="80"/>
      </w:pPr>
      <w:r>
        <w:t>2. Confirm Firestore rules and project configuration are correct.</w:t>
      </w:r>
    </w:p>
    <w:p>
      <w:pPr>
        <w:pStyle w:val="ListBullet"/>
        <w:spacing w:after="80"/>
      </w:pPr>
      <w:r>
        <w:t>3. Add provider keys in Vercel Project Settings -&gt; Environment Variables.</w:t>
      </w:r>
    </w:p>
    <w:p>
      <w:pPr>
        <w:pStyle w:val="ListBullet"/>
        <w:spacing w:after="80"/>
      </w:pPr>
      <w:r>
        <w:t>4. Add `ALPHA_VANTAGE_API_KEY` if market holdings refresh should work in production.</w:t>
      </w:r>
    </w:p>
    <w:p>
      <w:pPr>
        <w:pStyle w:val="ListBullet"/>
        <w:spacing w:after="80"/>
      </w:pPr>
      <w:r>
        <w:t>5. Redeploy after env changes.</w:t>
      </w:r>
    </w:p>
    <w:p>
      <w:pPr>
        <w:pStyle w:val="ListBullet"/>
        <w:spacing w:after="80"/>
      </w:pPr>
      <w:r>
        <w:t>6. Validate `/api/ai/health` and `/api/market/search` in production.</w:t>
      </w:r>
    </w:p>
    <w:p>
      <w:pPr>
        <w:pStyle w:val="ListBullet"/>
        <w:spacing w:after="80"/>
      </w:pPr>
      <w:r>
        <w:t>7. Test sign-in, AI query, transaction add, import, analytics, goals, net worth, holdings refresh, and persistence reload flows.</w:t>
      </w:r>
    </w:p>
    <w:p>
      <w:pPr>
        <w:pStyle w:val="ListBullet"/>
        <w:spacing w:after="80"/>
      </w:pPr>
      <w:r>
        <w:t>8. Check browser console and Vercel function logs for any last-mile failures.</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C1A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A0784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1A17"/>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C1A1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