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FIVE STAR FRANCHISING</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#5 · WEDGE-BRAND · Score 59.2</w:t>
      </w:r>
    </w:p>
    <w:p>
      <w:pPr>
        <w:spacing w:after="240" w:before="0"/>
        <w:jc w:val="center"/>
      </w:pPr>
      <w:r>
        <w:rPr>
          <w:rFonts w:ascii="Arial" w:cs="Arial" w:eastAsia="Arial" w:hAnsi="Arial"/>
          <w:i/>
          <w:iCs/>
          <w:color w:val="888780"/>
          <w:sz w:val="20"/>
          <w:szCs w:val="20"/>
        </w:rPr>
        <w:t xml:space="preserve">Mosquito Shield wedge · ProNexis = call center only · tactical pipeline</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5F5F5"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Five Star Franchising sits at rank #5</w:t>
            </w:r>
          </w:p>
          <w:p>
            <w:r>
              <w:rPr>
                <w:rFonts w:ascii="Arial" w:cs="Arial" w:eastAsia="Arial" w:hAnsi="Arial"/>
                <w:sz w:val="22"/>
                <w:szCs w:val="22"/>
              </w:rPr>
              <w:t xml:space="preserve">Five Star Franchising came in at #6, similar tactical profile to ResiBrands but with a smaller tech base at ~2,350. ProNexis is Five Star's branded service, but it's a call center/lead intake layer, not FSM — so the actual field service tech decision sits at the franchisee level. Mosquito Shield at 400+ territories is the natural wedge brand. Princeton Equity-backed. My read is we pair this with ResiBrands as parallel tactical pipeline.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ProNexis is call center only. Not FSM. Franchisee-choice backend means no displacement fight.</w:t>
      </w:r>
    </w:p>
    <w:p>
      <w:pPr>
        <w:pStyle w:val="ListParagraph"/>
        <w:numPr>
          <w:ilvl w:val="0"/>
          <w:numId w:val="2"/>
        </w:numPr>
        <w:spacing w:after="40" w:before="40"/>
      </w:pPr>
      <w:r>
        <w:rPr>
          <w:rFonts w:ascii="Arial" w:cs="Arial" w:eastAsia="Arial" w:hAnsi="Arial"/>
          <w:sz w:val="22"/>
          <w:szCs w:val="22"/>
        </w:rPr>
        <w:t xml:space="preserve">Mosquito Shield at 400+ territories is fleet-heavy and a natural GPSI bundle fit.</w:t>
      </w:r>
    </w:p>
    <w:p>
      <w:pPr>
        <w:pStyle w:val="ListParagraph"/>
        <w:numPr>
          <w:ilvl w:val="0"/>
          <w:numId w:val="2"/>
        </w:numPr>
        <w:spacing w:after="40" w:before="40"/>
      </w:pPr>
      <w:r>
        <w:rPr>
          <w:rFonts w:ascii="Arial" w:cs="Arial" w:eastAsia="Arial" w:hAnsi="Arial"/>
          <w:sz w:val="22"/>
          <w:szCs w:val="22"/>
        </w:rPr>
        <w:t xml:space="preserve">Scott Abbott is the single decision anchor.</w:t>
      </w:r>
    </w:p>
    <w:p>
      <w:pPr>
        <w:pStyle w:val="ListParagraph"/>
        <w:numPr>
          <w:ilvl w:val="0"/>
          <w:numId w:val="2"/>
        </w:numPr>
        <w:spacing w:after="40" w:before="40"/>
      </w:pPr>
      <w:r>
        <w:rPr>
          <w:rFonts w:ascii="Arial" w:cs="Arial" w:eastAsia="Arial" w:hAnsi="Arial"/>
          <w:sz w:val="22"/>
          <w:szCs w:val="22"/>
        </w:rPr>
        <w:t xml:space="preserve">Princeton Equity-backed, standard PE dynamics, likely 4-5 years in.</w:t>
      </w:r>
    </w:p>
    <w:p>
      <w:pPr>
        <w:pStyle w:val="ListParagraph"/>
        <w:numPr>
          <w:ilvl w:val="0"/>
          <w:numId w:val="2"/>
        </w:numPr>
        <w:spacing w:after="40" w:before="40"/>
      </w:pPr>
      <w:r>
        <w:rPr>
          <w:rFonts w:ascii="Arial" w:cs="Arial" w:eastAsia="Arial" w:hAnsi="Arial"/>
          <w:sz w:val="22"/>
          <w:szCs w:val="22"/>
        </w:rPr>
        <w:t xml:space="preserve">My read: pair this with ResiBrands as tactical pipeline. Not a strategic platform anchor.</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7</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Five Star website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Mosquito Shield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400+ territories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FDD aggregators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Tech count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~2,350 mid-point (range 1,750-3,000)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Vertical-calibrated from verified location counts × industry-typical techs/location</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25</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Portfolio FSM (call center)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ProNexis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Five Star materials + ServiceMinder integration docs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FSM backend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Franchisee-choice est.</w:t>
            </w:r>
          </w:p>
        </w:tc>
        <w:tc>
          <w:tcPr>
            <w:tcW w:type="dxa" w:w="14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ProNexis is call-center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CEO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Scott Abbott</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Five Star corporate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owner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Princeton Equity</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Five Star investor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Yes — Five Star Buying Group</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Five Star Franchising website, Buying Group program</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Consumer 85%</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Mosquito Shield + bath/painting consumer-led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Five Star Franchising — franchisor-level ROI model</w:t>
      </w:r>
    </w:p>
    <w:p>
      <w:pPr>
        <w:spacing w:after="80" w:before="80"/>
      </w:pPr>
      <w:r>
        <w:rPr>
          <w:rFonts w:ascii="Arial" w:cs="Arial" w:eastAsia="Arial" w:hAnsi="Arial"/>
          <w:sz w:val="22"/>
          <w:szCs w:val="22"/>
        </w:rPr>
        <w:t xml:space="preserve">The model is straightforward — if ServiceBridge is adopted across Five Star Franchising's network, what does that do to Five Star Franchising's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2,350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Vertical-calibrated from FDDs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$1.88M/yr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2,350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$0.11M/yr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$1.35M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$18.8M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$70,359</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$70,359</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$70,359</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$140,718</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$70,359</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$211,077</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$175,898 and 3-year cumulative reaches $527,694.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Five Star Franchising — our conservative working baseline — franchisee-level exit value creation is ~$19M (10% penetration × $8K/tech EBITDA × 10x multiple). 3-year cumulative ServiceBridge investment is ~$211.08K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Five Star Franchising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235</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$1.9M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$19M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588</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$4.7M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$47M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FFF1D6" w:val="clear"/>
            <w:tcMar>
              <w:top w:type="dxa" w:w="80"/>
              <w:left w:type="dxa" w:w="120"/>
              <w:bottom w:type="dxa" w:w="80"/>
              <w:right w:type="dxa" w:w="120"/>
            </w:tcMar>
          </w:tcPr>
          <w:p>
            <w:pPr>
              <w:jc w:val="center"/>
            </w:pPr>
            <w:r>
              <w:rPr>
                <w:rFonts w:ascii="Arial" w:cs="Arial" w:eastAsia="Arial" w:hAnsi="Arial"/>
                <w:b/>
                <w:bCs/>
                <w:i w:val="false"/>
                <w:iCs w:val="false"/>
                <w:color w:val="8B5A00"/>
                <w:sz w:val="32"/>
                <w:szCs w:val="32"/>
              </w:rPr>
              <w:t xml:space="preserve">9 / 15</w:t>
            </w:r>
          </w:p>
        </w:tc>
        <w:tc>
          <w:tcPr>
            <w:tcW w:type="dxa" w:w="3120"/>
            <w:tcBorders>
              <w:top w:val="single" w:color="CCCCCC" w:sz="4"/>
              <w:left w:val="single" w:color="CCCCCC" w:sz="4"/>
              <w:bottom w:val="single" w:color="CCCCCC" w:sz="4"/>
              <w:right w:val="single" w:color="CCCCCC" w:sz="4"/>
            </w:tcBorders>
            <w:shd w:fill="FFF1D6" w:val="clear"/>
            <w:tcMar>
              <w:top w:type="dxa" w:w="80"/>
              <w:left w:type="dxa" w:w="120"/>
              <w:bottom w:type="dxa" w:w="80"/>
              <w:right w:type="dxa" w:w="120"/>
            </w:tcMar>
          </w:tcPr>
          <w:p>
            <w:pPr>
              <w:jc w:val="center"/>
            </w:pPr>
            <w:r>
              <w:rPr>
                <w:rFonts w:ascii="Arial" w:cs="Arial" w:eastAsia="Arial" w:hAnsi="Arial"/>
                <w:b/>
                <w:bCs/>
                <w:i w:val="false"/>
                <w:iCs w:val="false"/>
                <w:color w:val="8B5A00"/>
                <w:sz w:val="22"/>
                <w:szCs w:val="22"/>
              </w:rPr>
              <w:t xml:space="preserve">NEAR-TERM (Wks 5-9)</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#5 of 7  (WEDGE-BRAND)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Bidwell (Five Star President) settled. Conrad known legacy contact. No tech-mandating transition window.</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PestWorld October out of 4-6 week window. No Five Star/Mosquito Shield target at FCXC. But Mosquito Shield brand visibly active in industry circles.</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Mosquito Shield active in pest industry events. ProNexis call center backend = no FSM at franchisor; brand-level evaluation more active than corporate-level.</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3/3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EXISTING GPSI RELATIONSHIP — Andrea pulling overlap list this week. Highest immediate-actionability signal in entire P1 set.</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Existing GPSI overlap = pre-existing relationship + customer pain visibility. Soft but real evaluation signal. Phase 1 highest-confidence opportunity.</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1D6"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Five Star Franchising this week</w:t>
            </w:r>
          </w:p>
          <w:p>
            <w:r>
              <w:rPr>
                <w:rFonts w:ascii="Arial" w:cs="Arial" w:eastAsia="Arial" w:hAnsi="Arial"/>
                <w:sz w:val="22"/>
                <w:szCs w:val="22"/>
              </w:rPr>
              <w:t xml:space="preserve">Five Star is the easiest Phase 1 win available — existing GPSI relationship plus Andrea pulling the overlap list this week makes engagement immediately actionable. Mosquito Shield is the wedge brand. Light marginal lift makes this the right '4th conversation' to capture without overstretching capacity.</w:t>
            </w:r>
          </w:p>
        </w:tc>
      </w:tr>
    </w:tbl>
    <w:p>
      <w:pPr>
        <w:spacing w:after="80" w:before="80"/>
      </w:pPr>
      <w:r>
        <w:rPr>
          <w:rFonts w:ascii="Arial" w:cs="Arial" w:eastAsia="Arial" w:hAnsi="Arial"/>
          <w:b w:val="false"/>
          <w:bCs w:val="false"/>
          <w:sz w:val="22"/>
          <w:szCs w:val="22"/>
        </w:rPr>
        <w:t xml:space="preserve">1. Wk 1: Andrea pulls GPSI/Mosquito Shield overlap list. Mike + Andrea 30-min review of segmented operators (existing GPSI customers vs prospects).</w:t>
      </w:r>
    </w:p>
    <w:p>
      <w:pPr>
        <w:spacing w:after="80" w:before="80"/>
      </w:pPr>
      <w:r>
        <w:rPr>
          <w:rFonts w:ascii="Arial" w:cs="Arial" w:eastAsia="Arial" w:hAnsi="Arial"/>
          <w:b w:val="false"/>
          <w:bCs w:val="false"/>
          <w:sz w:val="22"/>
          <w:szCs w:val="22"/>
        </w:rPr>
        <w:t xml:space="preserve">2. Wk 2-3: Marketing teammates lead operator-level outreach to existing-relationship Mosquito Shield franchisees — soft re-engagement framing, not cold pitch.</w:t>
      </w:r>
    </w:p>
    <w:p>
      <w:pPr>
        <w:spacing w:after="80" w:before="80"/>
      </w:pPr>
      <w:r>
        <w:rPr>
          <w:rFonts w:ascii="Arial" w:cs="Arial" w:eastAsia="Arial" w:hAnsi="Arial"/>
          <w:b w:val="false"/>
          <w:bCs w:val="false"/>
          <w:sz w:val="22"/>
          <w:szCs w:val="22"/>
        </w:rPr>
        <w:t xml:space="preserve">3. Wk 3-4: LinkedIn articles touch Mosquito Shield's pest-vertical context naturally. No specific Five Star tagging needed.</w:t>
      </w:r>
    </w:p>
    <w:p>
      <w:pPr>
        <w:spacing w:after="80" w:before="80"/>
      </w:pPr>
      <w:r>
        <w:rPr>
          <w:rFonts w:ascii="Arial" w:cs="Arial" w:eastAsia="Arial" w:hAnsi="Arial"/>
          <w:b w:val="false"/>
          <w:bCs w:val="false"/>
          <w:sz w:val="22"/>
          <w:szCs w:val="22"/>
        </w:rPr>
        <w:t xml:space="preserve">4. Wk 4-6: Convert engaged Mosquito Shield operators into Five Star corporate introduction (Bidwell/Conrad). Bottom-up creates top-down opening.</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5F5F5"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Five Star Franchising is ranked 5 of 7 P1 targets — character: WEDGE-BRAND</w:t>
            </w:r>
          </w:p>
          <w:p>
            <w:r>
              <w:rPr>
                <w:rFonts w:ascii="Arial" w:cs="Arial" w:eastAsia="Arial" w:hAnsi="Arial"/>
                <w:sz w:val="22"/>
                <w:szCs w:val="22"/>
              </w:rPr>
              <w:t xml:space="preserve">WEDGE-BRAND character. Mosquito Shield (400+ territories) is the entry point. Smaller scale, tactical pipeline fill. Score 59.2 (V2 weighted across 7 dimensions — see 'How we scored this' below). We pair this with ResiBrands for parallel execution. Not a strategic platform anchor.</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Mosquito Shield (400+ territories) is pest control — fleet-heavy, recurring revenue, route-dense. Classic GPS Insight + ServiceBridge bundle use case. Win Mosquito Shield → expand to other Five Star concepts.</w:t>
      </w:r>
    </w:p>
    <w:p>
      <w:pPr>
        <w:pStyle w:val="ListParagraph"/>
        <w:numPr>
          <w:ilvl w:val="0"/>
          <w:numId w:val="2"/>
        </w:numPr>
        <w:spacing w:after="40" w:before="40"/>
      </w:pPr>
      <w:r>
        <w:rPr>
          <w:rFonts w:ascii="Arial" w:cs="Arial" w:eastAsia="Arial" w:hAnsi="Arial"/>
          <w:sz w:val="22"/>
          <w:szCs w:val="22"/>
        </w:rPr>
        <w:t xml:space="preserve">Mosquito Shield is the only Five Star brand at meaningful scale — lead with it.</w:t>
      </w:r>
    </w:p>
    <w:p>
      <w:pPr>
        <w:pStyle w:val="ListParagraph"/>
        <w:numPr>
          <w:ilvl w:val="0"/>
          <w:numId w:val="2"/>
        </w:numPr>
        <w:spacing w:after="40" w:before="40"/>
      </w:pPr>
      <w:r>
        <w:rPr>
          <w:rFonts w:ascii="Arial" w:cs="Arial" w:eastAsia="Arial" w:hAnsi="Arial"/>
          <w:sz w:val="22"/>
          <w:szCs w:val="22"/>
        </w:rPr>
        <w:t xml:space="preserve">GPSI bundle pitch works here — no fleet mandate conflicts found.</w:t>
      </w:r>
    </w:p>
    <w:p>
      <w:pPr>
        <w:pStyle w:val="ListParagraph"/>
        <w:numPr>
          <w:ilvl w:val="0"/>
          <w:numId w:val="2"/>
        </w:numPr>
        <w:spacing w:after="40" w:before="40"/>
      </w:pPr>
      <w:r>
        <w:rPr>
          <w:rFonts w:ascii="Arial" w:cs="Arial" w:eastAsia="Arial" w:hAnsi="Arial"/>
          <w:sz w:val="22"/>
          <w:szCs w:val="22"/>
        </w:rPr>
        <w:t xml:space="preserve">Position ServiceBridge as behind ProNexis call center — complement, not replacement.</w:t>
      </w:r>
    </w:p>
    <w:p>
      <w:pPr>
        <w:pStyle w:val="ListParagraph"/>
        <w:numPr>
          <w:ilvl w:val="0"/>
          <w:numId w:val="2"/>
        </w:numPr>
        <w:spacing w:after="40" w:before="40"/>
      </w:pPr>
      <w:r>
        <w:rPr>
          <w:rFonts w:ascii="Arial" w:cs="Arial" w:eastAsia="Arial" w:hAnsi="Arial"/>
          <w:sz w:val="22"/>
          <w:szCs w:val="22"/>
        </w:rPr>
        <w:t xml:space="preserve">Run Five Star and ResiBrands in parallel as tactical pipeline.</w:t>
      </w:r>
    </w:p>
    <w:p>
      <w:pPr>
        <w:pStyle w:val="Heading2"/>
      </w:pPr>
      <w:r>
        <w:t xml:space="preserve">Warm path &amp; contact intel — v15.36 CRM sync</w:t>
      </w:r>
    </w:p>
    <w:p>
      <w:pPr>
        <w:spacing w:before="80" w:after="80"/>
      </w:pPr>
      <w:r>
        <w:rPr>
          <w:i/>
          <w:iCs/>
          <w:color w:val="6B7280"/>
          <w:sz w:val="20"/>
          <w:szCs w:val="20"/>
        </w:rPr>
        <w:t xml:space="preserve">Top contacts plus warm-path status. 🟢 active warm angle · 🟡 status change to verify · 🟣 team assignment.</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00"/>
        <w:gridCol w:w="1900"/>
        <w:gridCol w:w="1900"/>
        <w:gridCol w:w="1700"/>
        <w:gridCol w:w="1800"/>
      </w:tblGrid>
      <w:tr>
        <w:trPr>
          <w:tblHeader/>
        </w:trPr>
        <w:tc>
          <w:tcPr>
            <w:tcW w:w="1700" w:type="dxa"/>
            <w:shd w:val="clear" w:color="auto" w:fill="1A2B3C"/>
          </w:tcPr>
          <w:p>
            <w:pPr>
              <w:spacing w:before="60" w:after="60"/>
            </w:pPr>
            <w:r>
              <w:rPr>
                <w:b/>
                <w:bCs/>
                <w:color w:val="FFFFFF"/>
                <w:sz w:val="18"/>
              </w:rPr>
              <w:t>Name</w:t>
            </w:r>
          </w:p>
        </w:tc>
        <w:tc>
          <w:tcPr>
            <w:tcW w:w="1900" w:type="dxa"/>
            <w:shd w:val="clear" w:color="auto" w:fill="1A2B3C"/>
          </w:tcPr>
          <w:p>
            <w:pPr>
              <w:spacing w:before="60" w:after="60"/>
            </w:pPr>
            <w:r>
              <w:rPr>
                <w:b/>
                <w:bCs/>
                <w:color w:val="FFFFFF"/>
                <w:sz w:val="18"/>
              </w:rPr>
              <w:t>Role</w:t>
            </w:r>
          </w:p>
        </w:tc>
        <w:tc>
          <w:tcPr>
            <w:tcW w:w="1900" w:type="dxa"/>
            <w:shd w:val="clear" w:color="auto" w:fill="1A2B3C"/>
          </w:tcPr>
          <w:p>
            <w:pPr>
              <w:spacing w:before="60" w:after="60"/>
            </w:pPr>
            <w:r>
              <w:rPr>
                <w:b/>
                <w:bCs/>
                <w:color w:val="FFFFFF"/>
                <w:sz w:val="18"/>
              </w:rPr>
              <w:t>LinkedIn</w:t>
            </w:r>
          </w:p>
        </w:tc>
        <w:tc>
          <w:tcPr>
            <w:tcW w:w="1700" w:type="dxa"/>
            <w:shd w:val="clear" w:color="auto" w:fill="1A2B3C"/>
          </w:tcPr>
          <w:p>
            <w:pPr>
              <w:spacing w:before="60" w:after="60"/>
            </w:pPr>
            <w:r>
              <w:rPr>
                <w:b/>
                <w:bCs/>
                <w:color w:val="FFFFFF"/>
                <w:sz w:val="18"/>
              </w:rPr>
              <w:t>School</w:t>
            </w:r>
          </w:p>
        </w:tc>
        <w:tc>
          <w:tcPr>
            <w:tcW w:w="1800" w:type="dxa"/>
            <w:shd w:val="clear" w:color="auto" w:fill="1A2B3C"/>
          </w:tcPr>
          <w:p>
            <w:pPr>
              <w:spacing w:before="60" w:after="60"/>
            </w:pPr>
            <w:r>
              <w:rPr>
                <w:b/>
                <w:bCs/>
                <w:color w:val="FFFFFF"/>
                <w:sz w:val="18"/>
              </w:rPr>
              <w:t>Warm-Path Status / Notes</w:t>
            </w:r>
          </w:p>
        </w:tc>
      </w:tr>
      <w:tr>
        <w:tc>
          <w:tcPr>
            <w:tcW w:w="1700" w:type="dxa"/>
            <w:shd w:val="clear" w:color="auto" w:fill="FFFFFF"/>
          </w:tcPr>
          <w:p>
            <w:pPr>
              <w:spacing w:before="40" w:after="40"/>
            </w:pPr>
            <w:r>
              <w:rPr>
                <w:b/>
                <w:bCs/>
                <w:sz w:val="18"/>
              </w:rPr>
              <w:t xml:space="preserve">Scott Abbott</w:t>
            </w:r>
          </w:p>
        </w:tc>
        <w:tc>
          <w:tcPr>
            <w:tcW w:w="1900" w:type="dxa"/>
            <w:shd w:val="clear" w:color="auto" w:fill="FFFFFF"/>
          </w:tcPr>
          <w:p>
            <w:pPr>
              <w:spacing w:before="40" w:after="40"/>
            </w:pPr>
            <w:r>
              <w:rPr>
                <w:sz w:val="18"/>
              </w:rPr>
              <w:t xml:space="preserve">CEO &amp; Co-Founder</w:t>
            </w:r>
          </w:p>
        </w:tc>
        <w:tc>
          <w:tcPr>
            <w:tcW w:w="1900" w:type="dxa"/>
            <w:shd w:val="clear" w:color="auto" w:fill="FFFFFF"/>
          </w:tcPr>
          <w:p>
            <w:pPr>
              <w:spacing w:before="40" w:after="40"/>
            </w:pPr>
            <w:r>
              <w:rPr>
                <w:color w:val="185FA5"/>
                <w:sz w:val="16"/>
              </w:rPr>
              <w:t xml:space="preserve">dscottabbott</w:t>
            </w:r>
          </w:p>
        </w:tc>
        <w:tc>
          <w:tcPr>
            <w:tcW w:w="1700" w:type="dxa"/>
            <w:shd w:val="clear" w:color="auto" w:fill="FFFFFF"/>
          </w:tcPr>
          <w:p>
            <w:pPr>
              <w:spacing w:before="40" w:after="40"/>
            </w:pPr>
            <w:r>
              <w:rPr>
                <w:sz w:val="16"/>
              </w:rPr>
              <w:t xml:space="preserve">BYU Marriott School MBA 2005-2007 (Marketing/Entrepreneurship) + University of Manitoba BS</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Chad Jones</w:t>
            </w:r>
          </w:p>
        </w:tc>
        <w:tc>
          <w:tcPr>
            <w:tcW w:w="1900" w:type="dxa"/>
            <w:shd w:val="clear" w:color="auto" w:fill="FFFFFF"/>
          </w:tcPr>
          <w:p>
            <w:pPr>
              <w:spacing w:before="40" w:after="40"/>
            </w:pPr>
            <w:r>
              <w:rPr>
                <w:sz w:val="18"/>
              </w:rPr>
              <w:t xml:space="preserve">COO &amp; Co-Founder</w:t>
            </w:r>
          </w:p>
        </w:tc>
        <w:tc>
          <w:tcPr>
            <w:tcW w:w="1900" w:type="dxa"/>
            <w:shd w:val="clear" w:color="auto" w:fill="FFFFFF"/>
          </w:tcPr>
          <w:p>
            <w:pPr>
              <w:spacing w:before="40" w:after="40"/>
            </w:pPr>
            <w:r>
              <w:rPr>
                <w:color w:val="185FA5"/>
                <w:sz w:val="16"/>
              </w:rPr>
              <w:t xml:space="preserve">chadrobertjones</w:t>
            </w:r>
          </w:p>
        </w:tc>
        <w:tc>
          <w:tcPr>
            <w:tcW w:w="1700" w:type="dxa"/>
            <w:shd w:val="clear" w:color="auto" w:fill="FFFFFF"/>
          </w:tcPr>
          <w:p>
            <w:pPr>
              <w:spacing w:before="40" w:after="40"/>
            </w:pPr>
            <w:r>
              <w:rPr>
                <w:sz w:val="16"/>
              </w:rPr>
              <w:t xml:space="preserve">MacEwan University Bachelor of Commerce 1997-1998 ⭐ Canadian/Edmonton Alberta. Best friend</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Steve White</w:t>
            </w:r>
          </w:p>
        </w:tc>
        <w:tc>
          <w:tcPr>
            <w:tcW w:w="1900" w:type="dxa"/>
            <w:shd w:val="clear" w:color="auto" w:fill="FFFFFF"/>
          </w:tcPr>
          <w:p>
            <w:pPr>
              <w:spacing w:before="40" w:after="40"/>
            </w:pPr>
            <w:r>
              <w:rPr>
                <w:sz w:val="18"/>
              </w:rPr>
              <w:t xml:space="preserve">CFO</w:t>
            </w:r>
          </w:p>
        </w:tc>
        <w:tc>
          <w:tcPr>
            <w:tcW w:w="1900" w:type="dxa"/>
            <w:shd w:val="clear" w:color="auto" w:fill="FFFFFF"/>
          </w:tcPr>
          <w:p>
            <w:pPr>
              <w:spacing w:before="40" w:after="40"/>
            </w:pPr>
            <w:r>
              <w:rPr>
                <w:color w:val="185FA5"/>
                <w:sz w:val="16"/>
              </w:rPr>
              <w:t xml:space="preserve">steve-white-fivestar</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William Thomas</w:t>
            </w:r>
          </w:p>
        </w:tc>
        <w:tc>
          <w:tcPr>
            <w:tcW w:w="1900" w:type="dxa"/>
            <w:shd w:val="clear" w:color="auto" w:fill="FFFFFF"/>
          </w:tcPr>
          <w:p>
            <w:pPr>
              <w:spacing w:before="40" w:after="40"/>
            </w:pPr>
            <w:r>
              <w:rPr>
                <w:sz w:val="18"/>
              </w:rPr>
              <w:t xml:space="preserve">Chief of Staff</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bl>
    <w:p>
      <w:pPr>
        <w:pStyle w:val="Heading1"/>
      </w:pPr>
      <w:r>
        <w:t xml:space="preserve">📞 Outreach plan &amp; sequencing — IN DEVELOPMENT</w:t>
      </w:r>
    </w:p>
    <w:tbl>
      <w:tblPr>
        <w:tblW w:w="9000" w:type="dxa"/>
        <w:tblBorders>
          <w:top w:val="single" w:sz="4" w:space="0" w:color="D97706"/>
          <w:left w:val="single" w:sz="4" w:space="0" w:color="D97706"/>
          <w:bottom w:val="single" w:sz="4" w:space="0" w:color="D97706"/>
          <w:right w:val="single" w:sz="4" w:space="0" w:color="D97706"/>
        </w:tblBorders>
      </w:tblPr>
      <w:tblGrid>
        <w:gridCol w:w="9000"/>
      </w:tblGrid>
      <w:tr>
        <w:tc>
          <w:tcPr>
            <w:tcW w:w="9000" w:type="dxa"/>
            <w:shd w:val="clear" w:color="auto" w:fill="FEF3C7"/>
          </w:tcPr>
          <w:p>
            <w:pPr>
              <w:spacing w:before="80" w:after="80"/>
            </w:pPr>
            <w:r>
              <w:rPr>
                <w:b/>
                <w:bCs/>
                <w:color w:val="92400E"/>
              </w:rPr>
              <w:t xml:space="preserve">Status: </w:t>
            </w:r>
            <w:r>
              <w:t xml:space="preserve">Working with Becky (GPS Insight Marketing) on a coordinated warm marketing touch plan that sequences outreach against the contacts above using Alumni Crossover v19 warm anchors. Will populate as deliverables land. Live entries in Master CRM v15.36 Engagement Log (#79–83).</w:t>
            </w:r>
          </w:p>
        </w:tc>
      </w:tr>
    </w:tbl>
    <w:p>
      <w:pPr>
        <w:spacing w:before="80" w:after="80"/>
      </w:pPr>
      <w:r>
        <w:rPr>
          <w:b/>
          <w:bCs/>
          <w:color w:val="1A2B3C"/>
        </w:rPr>
        <w:t xml:space="preserve">Inputs needed from GPS Insight team:</w:t>
      </w:r>
    </w:p>
    <w:p>
      <w:pPr>
        <w:spacing w:before="40" w:after="40"/>
        <w:ind w:left="360" w:hanging="360"/>
      </w:pPr>
      <w:r>
        <w:t xml:space="preserve">• </w:t>
      </w:r>
      <w:r>
        <w:t xml:space="preserve">Alumni hits in column J of Alumni Crossover v19 (alma mater matches)</w:t>
      </w:r>
    </w:p>
    <w:p>
      <w:pPr>
        <w:spacing w:before="40" w:after="40"/>
        <w:ind w:left="360" w:hanging="360"/>
      </w:pPr>
      <w:r>
        <w:t xml:space="preserve">• </w:t>
      </w:r>
      <w:r>
        <w:t xml:space="preserve">LinkedIn 1st-degree mutual connections — click each LinkedIn URL above</w:t>
      </w:r>
    </w:p>
    <w:p>
      <w:pPr>
        <w:spacing w:before="40" w:after="40"/>
        <w:ind w:left="360" w:hanging="360"/>
      </w:pPr>
      <w:r>
        <w:t xml:space="preserve">• </w:t>
      </w:r>
      <w:r>
        <w:t xml:space="preserve">Verification of any flagged status changes before sequencing</w:t>
      </w: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Five Star Franchising's FSM landscape</w:t>
            </w:r>
          </w:p>
          <w:p>
            <w:r>
              <w:rPr>
                <w:rFonts w:ascii="Arial" w:cs="Arial" w:eastAsia="Arial" w:hAnsi="Arial"/>
                <w:sz w:val="22"/>
                <w:szCs w:val="22"/>
              </w:rPr>
              <w:t xml:space="preserve">Same architecture as ResiBrands — ProNexis is call center/lead intake only, NOT FSM. Backend is franchisee-choice. Mosquito Shield (400+ territories) is the wedge brand and the best GPSI bundle fit (fleet-heavy pest control). Scott Abbott has single decision authority. Tactical close paired with ResiBrands.</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Mosquito Shield</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400+ territories. Fleet-heavy pest control = best GPSI bundle fit in tactical tier.</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Five Star Painting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Painting vertical.</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Bin There Dump That</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Dumpster rental specialty.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Gotcha Covered</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Window treatments.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S.W.A.T. Pest Control</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 control. Fleet fit similar to Mosquito Shield.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Kitchen Tune-Up</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Kitchen refacing/refresh.</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Bath Tune-Up</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Bath remodeling. Newer brand.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ProNexis (call center)</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Five Star proprietary</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Franchisor product (call center)</w:t>
            </w:r>
          </w:p>
        </w:tc>
        <w:tc>
          <w:tcPr>
            <w:tcW w:type="dxa" w:w="11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6"/>
                <w:szCs w:val="16"/>
              </w:rPr>
              <w:t xml:space="preserve">NOT FSM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Call center / lead intake only. NOT FSM. ServiceBridge slots in cleanly behind ProNexis.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PE warm path is high-leverage but slow. We can't depend on KKR or Apax or MidOcean to schedule the meeting that gets us in. We need GPS Insight and ServiceBridge to be names franchisor leadership has heard before — multiple times, through multiple channels — by the time the warm path activates. This section is the framework for that. Marketing ownership sits with Marketing teammates; my read is here to give us a starting point.</w:t>
            </w:r>
          </w:p>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Five Star Franchising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Scott Abbott IFA presence.</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Abbott attended/spoke.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PestWorld 2026 (NPMA)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20-23, 2026 — Gaylord Texan, Grapevine, TX</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PRIMARY EVENT — Mosquito Shield (400+ territories) and S.W.A.T. Pest Control franchisees attend. 4,000-4,500 pest pros. Best vertical channel for Five Star's flagship.</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PCA EXPO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16-20, 2027 — New Orleans, LA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Five Star Painting franchisees attend. Vertical channel.</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Scott Abbott typical attendee.</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PestWorld 2027 (NPMA)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26-29, 2027 — Boston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Same Mosquito Shield targeting next year.</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Multi-Unit Franchising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April 26-29, 2027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Multi-unit Mosquito Shield operators attend.</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16-18, 2026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Five Star's emerging brands (Bath Tune-Up, Gotcha Covered) fit profile. Abbott may attend.</w:t>
            </w:r>
          </w:p>
        </w:tc>
        <w:tc>
          <w:tcPr>
            <w:tcW w:type="dxa" w:w="12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5"/>
                <w:szCs w:val="15"/>
              </w:rPr>
              <w:t xml:space="preserve">STANDARD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Scott Abbott (CEO)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Single decision anchor. LinkedIn + speaking circuit engagement.</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Five Star Franchising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Abbott engagement is primary. Five Star content positioning around franchisee-choice tooling resonates — doesn't threaten ProNexis call center.</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Pest control vertical trade press (PCT Magazine, Pest Management Professional) for Mosquito Shield-level visibility. Princeton Equity-portfolio thought leadership for Abbott-level visibility.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Medium-fit. PE-backed but founder-led culture. Coin works at single-CEO level.</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Mosquito Shield (400+ territories) operators are fleet-heavy and route-dense — natural ServiceBridge + GPSI bundle target. Any inbound is strong.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Princeton Equity network, NPMA pest control industry, franchise industry. Marketing teammates may have direct Mosquito Shield touchpoints.</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I'd land for marketing</w:t>
            </w:r>
          </w:p>
          <w:p>
            <w:r>
              <w:rPr>
                <w:rFonts w:ascii="Arial" w:cs="Arial" w:eastAsia="Arial" w:hAnsi="Arial"/>
                <w:sz w:val="22"/>
                <w:szCs w:val="22"/>
              </w:rPr>
              <w:t xml:space="preserve">Marketing teammates owns marketing execution. My read is we should be running 3-4 of these channels at any given time across each P1 — not all 7 channels for every target. The framework helps us pick the right combination given the warm path status, the engagement window, and what we already know about each franchisor's culture.</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Five Star Franchising.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I plan to use this</w:t>
            </w:r>
          </w:p>
          <w:p>
            <w:r>
              <w:rPr>
                <w:rFonts w:ascii="Arial" w:cs="Arial" w:eastAsia="Arial" w:hAnsi="Arial"/>
                <w:sz w:val="22"/>
                <w:szCs w:val="22"/>
              </w:rPr>
              <w:t xml:space="preserve">My read is the readiness package isn't finished when we send it — it's a starting point. After every meaningful interaction with Five Star Franchising, I'll capture what we learned here. Before we move to the next P1, we'll review what worked and what didn't, and bring those lessons forward. The team's tribal knowledge fills in the gaps that research couldn't.</w:t>
            </w:r>
          </w:p>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Five Star Franchising GTM Engagement Readiness  ·  April 24,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April 24,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FIVE STAR FRANCHISING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Five Star Franchising — GTM Engagement Readiness</dc:title>
  <dc:creator>Velocity GTM Co LLC</dc:creator>
  <cp:lastModifiedBy>Un-named</cp:lastModifiedBy>
  <cp:revision>1</cp:revision>
  <dcterms:created xsi:type="dcterms:W3CDTF">2026-04-27T19:00:08.097Z</dcterms:created>
  <dcterms:modified xsi:type="dcterms:W3CDTF">2026-04-27T19:00:08.097Z</dcterms:modified>
</cp:coreProperties>
</file>

<file path=docProps/custom.xml><?xml version="1.0" encoding="utf-8"?>
<Properties xmlns="http://schemas.openxmlformats.org/officeDocument/2006/custom-properties" xmlns:vt="http://schemas.openxmlformats.org/officeDocument/2006/docPropsVTypes"/>
</file>