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Arial" w:cs="Arial" w:eastAsia="Arial" w:hAnsi="Arial"/>
          <w:b/>
          <w:bCs/>
          <w:color w:val="1A2B3C"/>
          <w:sz w:val="44"/>
          <w:szCs w:val="44"/>
        </w:rPr>
        <w:t xml:space="preserve">PREMIUM SERVICE BRANDS</w:t>
      </w:r>
    </w:p>
    <w:p>
      <w:pPr>
        <w:spacing w:after="60" w:before="0"/>
        <w:jc w:val="center"/>
      </w:pPr>
      <w:r>
        <w:rPr>
          <w:rFonts w:ascii="Arial" w:cs="Arial" w:eastAsia="Arial" w:hAnsi="Arial"/>
          <w:b/>
          <w:bCs/>
          <w:color w:val="185FA5"/>
          <w:sz w:val="28"/>
          <w:szCs w:val="28"/>
        </w:rPr>
        <w:t xml:space="preserve">GTM Engagement Readiness</w:t>
      </w:r>
    </w:p>
    <w:p>
      <w:pPr>
        <w:spacing w:after="60" w:before="0"/>
        <w:jc w:val="center"/>
      </w:pPr>
      <w:r>
        <w:rPr>
          <w:rFonts w:ascii="Arial" w:cs="Arial" w:eastAsia="Arial" w:hAnsi="Arial"/>
          <w:b/>
          <w:bCs/>
          <w:color w:val="A32D2D"/>
          <w:sz w:val="22"/>
          <w:szCs w:val="22"/>
        </w:rPr>
        <w:t xml:space="preserve">Rank #6 · GREENFIELD-OPEN · Score 59.0</w:t>
      </w:r>
    </w:p>
    <w:p>
      <w:pPr>
        <w:spacing w:after="240" w:before="0"/>
        <w:jc w:val="center"/>
      </w:pPr>
      <w:r>
        <w:rPr>
          <w:rFonts w:ascii="Arial" w:cs="Arial" w:eastAsia="Arial" w:hAnsi="Arial"/>
          <w:i/>
          <w:iCs/>
          <w:color w:val="888780"/>
          <w:sz w:val="20"/>
          <w:szCs w:val="20"/>
        </w:rPr>
        <w:t xml:space="preserve">Pilot FSM status · RooterMan = 70% of network · franchisor financial distress</w:t>
      </w:r>
    </w:p>
    <w:p>
      <w:pPr>
        <w:pBdr>
          <w:bottom w:val="single" w:color="185FA5" w:sz="6" w:space="1"/>
        </w:pBdr>
        <w:spacing w:after="120" w:before="120"/>
      </w:pPr>
    </w:p>
    <w:p>
      <w:pPr>
        <w:pStyle w:val="Heading1"/>
        <w:spacing w:after="180" w:before="360"/>
      </w:pPr>
      <w:r>
        <w:rPr>
          <w:rFonts w:ascii="Arial" w:cs="Arial" w:eastAsia="Arial" w:hAnsi="Arial"/>
          <w:b/>
          <w:bCs/>
          <w:color w:val="1A2B3C"/>
          <w:sz w:val="32"/>
          <w:szCs w:val="32"/>
        </w:rPr>
        <w:t xml:space="preserve">My read on this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FF8E1" w:val="clear"/>
            <w:tcMar>
              <w:top w:type="dxa" w:w="200"/>
              <w:left w:type="dxa" w:w="240"/>
              <w:bottom w:type="dxa" w:w="200"/>
              <w:right w:type="dxa" w:w="240"/>
            </w:tcMar>
          </w:tcPr>
          <w:p>
            <w:pPr>
              <w:spacing w:after="120"/>
            </w:pPr>
            <w:r>
              <w:rPr>
                <w:rFonts w:ascii="Arial" w:cs="Arial" w:eastAsia="Arial" w:hAnsi="Arial"/>
                <w:b/>
                <w:bCs/>
                <w:color w:val="1A2B3C"/>
                <w:sz w:val="24"/>
                <w:szCs w:val="24"/>
              </w:rPr>
              <w:t xml:space="preserve">Why PSB sits at rank #6</w:t>
            </w:r>
          </w:p>
          <w:p>
            <w:r>
              <w:rPr>
                <w:rFonts w:ascii="Arial" w:cs="Arial" w:eastAsia="Arial" w:hAnsi="Arial"/>
                <w:sz w:val="22"/>
                <w:szCs w:val="22"/>
              </w:rPr>
              <w:t xml:space="preserve">PSB came in at #4 with a score of 56, but the revenue rule deprioritizes them against Neighborly and Authority. This one is genuinely different than the targets ahead of it. PSB's own FDD says they are 'pilot-testing a tech solution' — there's no portfolio FSM here yet. RooterMan is 70% of the network at 720-750 locations, so any PSB play is really a RooterMan play. The risk I want to flag: RooterMan's 2025 FDD shows the parent at a $5.8M members' deficit, net losses in both 2023 and 2024, and 15% unit churn in 2024. My read is the franchisor can't credibly fund a portfolio-wide rollout in that state, which moves us from a mandate-down pitch to a franchisee-up pitch.</w:t>
            </w:r>
          </w:p>
        </w:tc>
      </w:tr>
    </w:tbl>
    <w:p>
      <w:pPr>
        <w:spacing w:after="80" w:before="80"/>
      </w:pPr>
      <w:r>
        <w:rPr>
          <w:rFonts w:ascii="Arial" w:cs="Arial" w:eastAsia="Arial" w:hAnsi="Arial"/>
          <w:sz w:val="22"/>
          <w:szCs w:val="22"/>
        </w:rPr>
        <w:t xml:space="preserve"/>
      </w:r>
    </w:p>
    <w:p>
      <w:pPr>
        <w:spacing w:after="100" w:before="200"/>
      </w:pPr>
      <w:r>
        <w:rPr>
          <w:rFonts w:ascii="Arial" w:cs="Arial" w:eastAsia="Arial" w:hAnsi="Arial"/>
          <w:b/>
          <w:bCs/>
          <w:color w:val="1A2B3C"/>
          <w:sz w:val="22"/>
          <w:szCs w:val="22"/>
        </w:rPr>
        <w:t xml:space="preserve">Where I'd land it</w:t>
      </w:r>
    </w:p>
    <w:p>
      <w:pPr>
        <w:pStyle w:val="ListParagraph"/>
        <w:numPr>
          <w:ilvl w:val="0"/>
          <w:numId w:val="2"/>
        </w:numPr>
        <w:spacing w:after="40" w:before="40"/>
      </w:pPr>
      <w:r>
        <w:rPr>
          <w:rFonts w:ascii="Arial" w:cs="Arial" w:eastAsia="Arial" w:hAnsi="Arial"/>
          <w:sz w:val="22"/>
          <w:szCs w:val="22"/>
        </w:rPr>
        <w:t xml:space="preserve">PSB is not a single-vendor displacement like Empower. There is no portfolio-wide FSM here — just a pilot.</w:t>
      </w:r>
    </w:p>
    <w:p>
      <w:pPr>
        <w:pStyle w:val="ListParagraph"/>
        <w:numPr>
          <w:ilvl w:val="0"/>
          <w:numId w:val="2"/>
        </w:numPr>
        <w:spacing w:after="40" w:before="40"/>
      </w:pPr>
      <w:r>
        <w:rPr>
          <w:rFonts w:ascii="Arial" w:cs="Arial" w:eastAsia="Arial" w:hAnsi="Arial"/>
          <w:sz w:val="22"/>
          <w:szCs w:val="22"/>
        </w:rPr>
        <w:t xml:space="preserve">RooterMan is 70% of the network. Any PSB strategy is effectively a RooterMan strategy.</w:t>
      </w:r>
    </w:p>
    <w:p>
      <w:pPr>
        <w:pStyle w:val="ListParagraph"/>
        <w:numPr>
          <w:ilvl w:val="0"/>
          <w:numId w:val="2"/>
        </w:numPr>
        <w:spacing w:after="40" w:before="40"/>
      </w:pPr>
      <w:r>
        <w:rPr>
          <w:rFonts w:ascii="Arial" w:cs="Arial" w:eastAsia="Arial" w:hAnsi="Arial"/>
          <w:sz w:val="22"/>
          <w:szCs w:val="22"/>
        </w:rPr>
        <w:t xml:space="preserve">Parent has a $5.8M deficit and 15% RooterMan churn. My read is franchisor-level commitments are unlikely in this state.</w:t>
      </w:r>
    </w:p>
    <w:p>
      <w:pPr>
        <w:pStyle w:val="ListParagraph"/>
        <w:numPr>
          <w:ilvl w:val="0"/>
          <w:numId w:val="2"/>
        </w:numPr>
        <w:spacing w:after="40" w:before="40"/>
      </w:pPr>
      <w:r>
        <w:rPr>
          <w:rFonts w:ascii="Arial" w:cs="Arial" w:eastAsia="Arial" w:hAnsi="Arial"/>
          <w:sz w:val="22"/>
          <w:szCs w:val="22"/>
        </w:rPr>
        <w:t xml:space="preserve">I had Nesto wrong in earlier notes. It's not FSM — it's a customer loyalty play in Flick's own words. Corrected here.</w:t>
      </w:r>
    </w:p>
    <w:p>
      <w:pPr>
        <w:pStyle w:val="ListParagraph"/>
        <w:numPr>
          <w:ilvl w:val="0"/>
          <w:numId w:val="2"/>
        </w:numPr>
        <w:spacing w:after="40" w:before="40"/>
      </w:pPr>
      <w:r>
        <w:rPr>
          <w:rFonts w:ascii="Arial" w:cs="Arial" w:eastAsia="Arial" w:hAnsi="Arial"/>
          <w:sz w:val="22"/>
          <w:szCs w:val="22"/>
        </w:rPr>
        <w:t xml:space="preserve">Opportunity angle: ServiceBridge as a franchisee retention lever. PSB has a reason to welcome a partner that reduces their 15% annual churn.</w:t>
      </w:r>
    </w:p>
    <w:p>
      <w:pPr>
        <w:pBdr>
          <w:bottom w:val="single" w:color="185FA5" w:sz="6" w:space="1"/>
        </w:pBdr>
        <w:spacing w:after="120" w:before="120"/>
      </w:pPr>
    </w:p>
    <w:p>
      <w:pPr>
        <w:pStyle w:val="Heading1"/>
        <w:spacing w:after="180" w:before="360"/>
      </w:pPr>
      <w:r>
        <w:rPr>
          <w:rFonts w:ascii="Arial" w:cs="Arial" w:eastAsia="Arial" w:hAnsi="Arial"/>
          <w:b/>
          <w:bCs/>
          <w:color w:val="1A2B3C"/>
          <w:sz w:val="32"/>
          <w:szCs w:val="32"/>
        </w:rPr>
        <w:t xml:space="preserve">📊 What we know — with sources</w:t>
      </w:r>
    </w:p>
    <w:p>
      <w:pPr>
        <w:spacing w:after="80" w:before="80"/>
      </w:pPr>
      <w:r>
        <w:rPr>
          <w:rFonts w:ascii="Arial" w:cs="Arial" w:eastAsia="Arial" w:hAnsi="Arial"/>
          <w:sz w:val="22"/>
          <w:szCs w:val="22"/>
        </w:rPr>
        <w:t xml:space="preserve">Core data points with confidence level, source, and verification 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1400"/>
        <w:gridCol w:w="2000"/>
        <w:gridCol w:w="960"/>
      </w:tblGrid>
      <w:tr>
        <w:trPr>
          <w:tblHeader/>
        </w:trPr>
        <w:tc>
          <w:tcPr>
            <w:tcW w:type="dxa" w:w="2600"/>
            <w:tcBorders>
              <w:top w:val="single" w:color="CCCCCC" w:sz="4"/>
              <w:left w:val="single" w:color="CCCCCC" w:sz="4"/>
              <w:bottom w:val="single" w:color="CCCCCC" w:sz="4"/>
              <w:right w:val="single" w:color="CCCCCC" w:sz="4"/>
            </w:tcBorders>
            <w:shd w:fill="1A2B3C"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Data Point</w:t>
            </w:r>
          </w:p>
        </w:tc>
        <w:tc>
          <w:tcPr>
            <w:tcW w:type="dxa" w:w="2400"/>
            <w:tcBorders>
              <w:top w:val="single" w:color="CCCCCC" w:sz="4"/>
              <w:left w:val="single" w:color="CCCCCC" w:sz="4"/>
              <w:bottom w:val="single" w:color="CCCCCC" w:sz="4"/>
              <w:right w:val="single" w:color="CCCCCC" w:sz="4"/>
            </w:tcBorders>
            <w:shd w:fill="1A2B3C"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Value</w:t>
            </w:r>
          </w:p>
        </w:tc>
        <w:tc>
          <w:tcPr>
            <w:tcW w:type="dxa" w:w="1400"/>
            <w:tcBorders>
              <w:top w:val="single" w:color="CCCCCC" w:sz="4"/>
              <w:left w:val="single" w:color="CCCCCC" w:sz="4"/>
              <w:bottom w:val="single" w:color="CCCCCC" w:sz="4"/>
              <w:right w:val="single" w:color="CCCCCC" w:sz="4"/>
            </w:tcBorders>
            <w:shd w:fill="1A2B3C"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Confidence</w:t>
            </w:r>
          </w:p>
        </w:tc>
        <w:tc>
          <w:tcPr>
            <w:tcW w:type="dxa" w:w="2000"/>
            <w:tcBorders>
              <w:top w:val="single" w:color="CCCCCC" w:sz="4"/>
              <w:left w:val="single" w:color="CCCCCC" w:sz="4"/>
              <w:bottom w:val="single" w:color="CCCCCC" w:sz="4"/>
              <w:right w:val="single" w:color="CCCCCC" w:sz="4"/>
            </w:tcBorders>
            <w:shd w:fill="1A2B3C"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Source</w:t>
            </w:r>
          </w:p>
        </w:tc>
        <w:tc>
          <w:tcPr>
            <w:tcW w:type="dxa" w:w="960"/>
            <w:tcBorders>
              <w:top w:val="single" w:color="CCCCCC" w:sz="4"/>
              <w:left w:val="single" w:color="CCCCCC" w:sz="4"/>
              <w:bottom w:val="single" w:color="CCCCCC" w:sz="4"/>
              <w:right w:val="single" w:color="CCCCCC" w:sz="4"/>
            </w:tcBorders>
            <w:shd w:fill="1A2B3C"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Verified</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i w:val="false"/>
                <w:iCs w:val="false"/>
                <w:sz w:val="18"/>
                <w:szCs w:val="18"/>
              </w:rPr>
              <w:t xml:space="preserve">Total brands</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i w:val="false"/>
                <w:iCs w:val="false"/>
                <w:color w:val="1A2B3C"/>
                <w:sz w:val="18"/>
                <w:szCs w:val="18"/>
              </w:rPr>
              <w:t xml:space="preserve">9</w:t>
            </w:r>
          </w:p>
        </w:tc>
        <w:tc>
          <w:tcPr>
            <w:tcW w:type="dxa" w:w="1400"/>
            <w:tcBorders>
              <w:top w:val="single" w:color="CCCCCC" w:sz="4"/>
              <w:left w:val="single" w:color="CCCCCC" w:sz="4"/>
              <w:bottom w:val="single" w:color="CCCCCC" w:sz="4"/>
              <w:right w:val="single" w:color="CCCCCC" w:sz="4"/>
            </w:tcBorders>
            <w:shd w:fill="EAF3DE" w:val="clear"/>
            <w:tcMar>
              <w:top w:type="dxa" w:w="80"/>
              <w:left w:type="dxa" w:w="120"/>
              <w:bottom w:type="dxa" w:w="80"/>
              <w:right w:type="dxa" w:w="120"/>
            </w:tcMar>
          </w:tcPr>
          <w:p>
            <w:pPr>
              <w:jc w:val="center"/>
            </w:pPr>
            <w:r>
              <w:rPr>
                <w:rFonts w:ascii="Arial" w:cs="Arial" w:eastAsia="Arial" w:hAnsi="Arial"/>
                <w:b/>
                <w:bCs/>
                <w:i w:val="false"/>
                <w:iCs w:val="false"/>
                <w:color w:val="27500A"/>
                <w:sz w:val="18"/>
                <w:szCs w:val="18"/>
              </w:rPr>
              <w:t xml:space="preserve">🟢 VERIFIED</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iCs/>
                <w:color w:val="888780"/>
                <w:sz w:val="16"/>
                <w:szCs w:val="16"/>
              </w:rPr>
              <w:t xml:space="preserve">PSB website + Feb 2026 PR</w:t>
            </w:r>
          </w:p>
        </w:tc>
        <w:tc>
          <w:tcPr>
            <w:tcW w:type="dxa" w:w="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Arial" w:cs="Arial" w:eastAsia="Arial" w:hAnsi="Arial"/>
                <w:b w:val="false"/>
                <w:bCs w:val="false"/>
                <w:i w:val="false"/>
                <w:iCs w:val="false"/>
                <w:color w:val="888780"/>
                <w:sz w:val="16"/>
                <w:szCs w:val="16"/>
              </w:rPr>
              <w:t xml:space="preserve">Apr 24</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i w:val="false"/>
                <w:iCs w:val="false"/>
                <w:sz w:val="18"/>
                <w:szCs w:val="18"/>
              </w:rPr>
              <w:t xml:space="preserve">Total locations (actual)</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i w:val="false"/>
                <w:iCs w:val="false"/>
                <w:color w:val="1A2B3C"/>
                <w:sz w:val="18"/>
                <w:szCs w:val="18"/>
              </w:rPr>
              <w:t xml:space="preserve">~1,000-1,050</w:t>
            </w:r>
          </w:p>
        </w:tc>
        <w:tc>
          <w:tcPr>
            <w:tcW w:type="dxa" w:w="1400"/>
            <w:tcBorders>
              <w:top w:val="single" w:color="CCCCCC" w:sz="4"/>
              <w:left w:val="single" w:color="CCCCCC" w:sz="4"/>
              <w:bottom w:val="single" w:color="CCCCCC" w:sz="4"/>
              <w:right w:val="single" w:color="CCCCCC" w:sz="4"/>
            </w:tcBorders>
            <w:shd w:fill="EAF3DE" w:val="clear"/>
            <w:tcMar>
              <w:top w:type="dxa" w:w="80"/>
              <w:left w:type="dxa" w:w="120"/>
              <w:bottom w:type="dxa" w:w="80"/>
              <w:right w:type="dxa" w:w="120"/>
            </w:tcMar>
          </w:tcPr>
          <w:p>
            <w:pPr>
              <w:jc w:val="center"/>
            </w:pPr>
            <w:r>
              <w:rPr>
                <w:rFonts w:ascii="Arial" w:cs="Arial" w:eastAsia="Arial" w:hAnsi="Arial"/>
                <w:b/>
                <w:bCs/>
                <w:i w:val="false"/>
                <w:iCs w:val="false"/>
                <w:color w:val="27500A"/>
                <w:sz w:val="18"/>
                <w:szCs w:val="18"/>
              </w:rPr>
              <w:t xml:space="preserve">🟢 VERIFIED</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iCs/>
                <w:color w:val="888780"/>
                <w:sz w:val="16"/>
                <w:szCs w:val="16"/>
              </w:rPr>
              <w:t xml:space="preserve">Sum of 2024-2025 FDD counts</w:t>
            </w:r>
          </w:p>
        </w:tc>
        <w:tc>
          <w:tcPr>
            <w:tcW w:type="dxa" w:w="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Arial" w:cs="Arial" w:eastAsia="Arial" w:hAnsi="Arial"/>
                <w:b w:val="false"/>
                <w:bCs w:val="false"/>
                <w:i w:val="false"/>
                <w:iCs w:val="false"/>
                <w:color w:val="888780"/>
                <w:sz w:val="16"/>
                <w:szCs w:val="16"/>
              </w:rPr>
              <w:t xml:space="preserve">Apr 24</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i w:val="false"/>
                <w:iCs w:val="false"/>
                <w:sz w:val="18"/>
                <w:szCs w:val="18"/>
              </w:rPr>
              <w:t xml:space="preserve">RooterMan locations</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i w:val="false"/>
                <w:iCs w:val="false"/>
                <w:color w:val="1A2B3C"/>
                <w:sz w:val="18"/>
                <w:szCs w:val="18"/>
              </w:rPr>
              <w:t xml:space="preserve">720-750</w:t>
            </w:r>
          </w:p>
        </w:tc>
        <w:tc>
          <w:tcPr>
            <w:tcW w:type="dxa" w:w="1400"/>
            <w:tcBorders>
              <w:top w:val="single" w:color="CCCCCC" w:sz="4"/>
              <w:left w:val="single" w:color="CCCCCC" w:sz="4"/>
              <w:bottom w:val="single" w:color="CCCCCC" w:sz="4"/>
              <w:right w:val="single" w:color="CCCCCC" w:sz="4"/>
            </w:tcBorders>
            <w:shd w:fill="EAF3DE" w:val="clear"/>
            <w:tcMar>
              <w:top w:type="dxa" w:w="80"/>
              <w:left w:type="dxa" w:w="120"/>
              <w:bottom w:type="dxa" w:w="80"/>
              <w:right w:type="dxa" w:w="120"/>
            </w:tcMar>
          </w:tcPr>
          <w:p>
            <w:pPr>
              <w:jc w:val="center"/>
            </w:pPr>
            <w:r>
              <w:rPr>
                <w:rFonts w:ascii="Arial" w:cs="Arial" w:eastAsia="Arial" w:hAnsi="Arial"/>
                <w:b/>
                <w:bCs/>
                <w:i w:val="false"/>
                <w:iCs w:val="false"/>
                <w:color w:val="27500A"/>
                <w:sz w:val="18"/>
                <w:szCs w:val="18"/>
              </w:rPr>
              <w:t xml:space="preserve">🟢 VERIFIED</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iCs/>
                <w:color w:val="888780"/>
                <w:sz w:val="16"/>
                <w:szCs w:val="16"/>
              </w:rPr>
              <w:t xml:space="preserve">Franchise Direct 2024 FDD</w:t>
            </w:r>
          </w:p>
        </w:tc>
        <w:tc>
          <w:tcPr>
            <w:tcW w:type="dxa" w:w="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Arial" w:cs="Arial" w:eastAsia="Arial" w:hAnsi="Arial"/>
                <w:b w:val="false"/>
                <w:bCs w:val="false"/>
                <w:i w:val="false"/>
                <w:iCs w:val="false"/>
                <w:color w:val="888780"/>
                <w:sz w:val="16"/>
                <w:szCs w:val="16"/>
              </w:rPr>
              <w:t xml:space="preserve">Apr 24</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i w:val="false"/>
                <w:iCs w:val="false"/>
                <w:sz w:val="18"/>
                <w:szCs w:val="18"/>
              </w:rPr>
              <w:t xml:space="preserve">360° Painting locations</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i w:val="false"/>
                <w:iCs w:val="false"/>
                <w:color w:val="1A2B3C"/>
                <w:sz w:val="18"/>
                <w:szCs w:val="18"/>
              </w:rPr>
              <w:t xml:space="preserve">86 franchisees / 102 businesses</w:t>
            </w:r>
          </w:p>
        </w:tc>
        <w:tc>
          <w:tcPr>
            <w:tcW w:type="dxa" w:w="1400"/>
            <w:tcBorders>
              <w:top w:val="single" w:color="CCCCCC" w:sz="4"/>
              <w:left w:val="single" w:color="CCCCCC" w:sz="4"/>
              <w:bottom w:val="single" w:color="CCCCCC" w:sz="4"/>
              <w:right w:val="single" w:color="CCCCCC" w:sz="4"/>
            </w:tcBorders>
            <w:shd w:fill="EAF3DE" w:val="clear"/>
            <w:tcMar>
              <w:top w:type="dxa" w:w="80"/>
              <w:left w:type="dxa" w:w="120"/>
              <w:bottom w:type="dxa" w:w="80"/>
              <w:right w:type="dxa" w:w="120"/>
            </w:tcMar>
          </w:tcPr>
          <w:p>
            <w:pPr>
              <w:jc w:val="center"/>
            </w:pPr>
            <w:r>
              <w:rPr>
                <w:rFonts w:ascii="Arial" w:cs="Arial" w:eastAsia="Arial" w:hAnsi="Arial"/>
                <w:b/>
                <w:bCs/>
                <w:i w:val="false"/>
                <w:iCs w:val="false"/>
                <w:color w:val="27500A"/>
                <w:sz w:val="18"/>
                <w:szCs w:val="18"/>
              </w:rPr>
              <w:t xml:space="preserve">🟢 VERIFIED</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iCs/>
                <w:color w:val="888780"/>
                <w:sz w:val="16"/>
                <w:szCs w:val="16"/>
              </w:rPr>
              <w:t xml:space="preserve">2025 FDD</w:t>
            </w:r>
          </w:p>
        </w:tc>
        <w:tc>
          <w:tcPr>
            <w:tcW w:type="dxa" w:w="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Arial" w:cs="Arial" w:eastAsia="Arial" w:hAnsi="Arial"/>
                <w:b w:val="false"/>
                <w:bCs w:val="false"/>
                <w:i w:val="false"/>
                <w:iCs w:val="false"/>
                <w:color w:val="888780"/>
                <w:sz w:val="16"/>
                <w:szCs w:val="16"/>
              </w:rPr>
              <w:t xml:space="preserve">Apr 24</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i w:val="false"/>
                <w:iCs w:val="false"/>
                <w:sz w:val="18"/>
                <w:szCs w:val="18"/>
              </w:rPr>
              <w:t xml:space="preserve">ProLift Garage Doors locations</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i w:val="false"/>
                <w:iCs w:val="false"/>
                <w:color w:val="1A2B3C"/>
                <w:sz w:val="18"/>
                <w:szCs w:val="18"/>
              </w:rPr>
              <w:t xml:space="preserve">72-94</w:t>
            </w:r>
          </w:p>
        </w:tc>
        <w:tc>
          <w:tcPr>
            <w:tcW w:type="dxa" w:w="1400"/>
            <w:tcBorders>
              <w:top w:val="single" w:color="CCCCCC" w:sz="4"/>
              <w:left w:val="single" w:color="CCCCCC" w:sz="4"/>
              <w:bottom w:val="single" w:color="CCCCCC" w:sz="4"/>
              <w:right w:val="single" w:color="CCCCCC" w:sz="4"/>
            </w:tcBorders>
            <w:shd w:fill="EAF3DE" w:val="clear"/>
            <w:tcMar>
              <w:top w:type="dxa" w:w="80"/>
              <w:left w:type="dxa" w:w="120"/>
              <w:bottom w:type="dxa" w:w="80"/>
              <w:right w:type="dxa" w:w="120"/>
            </w:tcMar>
          </w:tcPr>
          <w:p>
            <w:pPr>
              <w:jc w:val="center"/>
            </w:pPr>
            <w:r>
              <w:rPr>
                <w:rFonts w:ascii="Arial" w:cs="Arial" w:eastAsia="Arial" w:hAnsi="Arial"/>
                <w:b/>
                <w:bCs/>
                <w:i w:val="false"/>
                <w:iCs w:val="false"/>
                <w:color w:val="27500A"/>
                <w:sz w:val="18"/>
                <w:szCs w:val="18"/>
              </w:rPr>
              <w:t xml:space="preserve">🟢 VERIFIED</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iCs/>
                <w:color w:val="888780"/>
                <w:sz w:val="16"/>
                <w:szCs w:val="16"/>
              </w:rPr>
              <w:t xml:space="preserve">2024 FDD</w:t>
            </w:r>
          </w:p>
        </w:tc>
        <w:tc>
          <w:tcPr>
            <w:tcW w:type="dxa" w:w="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Arial" w:cs="Arial" w:eastAsia="Arial" w:hAnsi="Arial"/>
                <w:b w:val="false"/>
                <w:bCs w:val="false"/>
                <w:i w:val="false"/>
                <w:iCs w:val="false"/>
                <w:color w:val="888780"/>
                <w:sz w:val="16"/>
                <w:szCs w:val="16"/>
              </w:rPr>
              <w:t xml:space="preserve">Apr 24</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i w:val="false"/>
                <w:iCs w:val="false"/>
                <w:sz w:val="18"/>
                <w:szCs w:val="18"/>
              </w:rPr>
              <w:t xml:space="preserve">Maid Right locations</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i w:val="false"/>
                <w:iCs w:val="false"/>
                <w:color w:val="1A2B3C"/>
                <w:sz w:val="18"/>
                <w:szCs w:val="18"/>
              </w:rPr>
              <w:t xml:space="preserve">29-44</w:t>
            </w:r>
          </w:p>
        </w:tc>
        <w:tc>
          <w:tcPr>
            <w:tcW w:type="dxa" w:w="1400"/>
            <w:tcBorders>
              <w:top w:val="single" w:color="CCCCCC" w:sz="4"/>
              <w:left w:val="single" w:color="CCCCCC" w:sz="4"/>
              <w:bottom w:val="single" w:color="CCCCCC" w:sz="4"/>
              <w:right w:val="single" w:color="CCCCCC" w:sz="4"/>
            </w:tcBorders>
            <w:shd w:fill="EAF3DE" w:val="clear"/>
            <w:tcMar>
              <w:top w:type="dxa" w:w="80"/>
              <w:left w:type="dxa" w:w="120"/>
              <w:bottom w:type="dxa" w:w="80"/>
              <w:right w:type="dxa" w:w="120"/>
            </w:tcMar>
          </w:tcPr>
          <w:p>
            <w:pPr>
              <w:jc w:val="center"/>
            </w:pPr>
            <w:r>
              <w:rPr>
                <w:rFonts w:ascii="Arial" w:cs="Arial" w:eastAsia="Arial" w:hAnsi="Arial"/>
                <w:b/>
                <w:bCs/>
                <w:i w:val="false"/>
                <w:iCs w:val="false"/>
                <w:color w:val="27500A"/>
                <w:sz w:val="18"/>
                <w:szCs w:val="18"/>
              </w:rPr>
              <w:t xml:space="preserve">🟢 VERIFIED</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iCs/>
                <w:color w:val="888780"/>
                <w:sz w:val="16"/>
                <w:szCs w:val="16"/>
              </w:rPr>
              <w:t xml:space="preserve">2024-2025 FDD</w:t>
            </w:r>
          </w:p>
        </w:tc>
        <w:tc>
          <w:tcPr>
            <w:tcW w:type="dxa" w:w="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Arial" w:cs="Arial" w:eastAsia="Arial" w:hAnsi="Arial"/>
                <w:b w:val="false"/>
                <w:bCs w:val="false"/>
                <w:i w:val="false"/>
                <w:iCs w:val="false"/>
                <w:color w:val="888780"/>
                <w:sz w:val="16"/>
                <w:szCs w:val="16"/>
              </w:rPr>
              <w:t xml:space="preserve">Apr 24</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i w:val="false"/>
                <w:iCs w:val="false"/>
                <w:sz w:val="18"/>
                <w:szCs w:val="18"/>
              </w:rPr>
              <w:t xml:space="preserve">Portfolio FSM</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i w:val="false"/>
                <w:iCs w:val="false"/>
                <w:color w:val="1A2B3C"/>
                <w:sz w:val="18"/>
                <w:szCs w:val="18"/>
              </w:rPr>
              <w:t xml:space="preserve">'Pilot-testing' per own FDD</w:t>
            </w:r>
          </w:p>
        </w:tc>
        <w:tc>
          <w:tcPr>
            <w:tcW w:type="dxa" w:w="1400"/>
            <w:tcBorders>
              <w:top w:val="single" w:color="CCCCCC" w:sz="4"/>
              <w:left w:val="single" w:color="CCCCCC" w:sz="4"/>
              <w:bottom w:val="single" w:color="CCCCCC" w:sz="4"/>
              <w:right w:val="single" w:color="CCCCCC" w:sz="4"/>
            </w:tcBorders>
            <w:shd w:fill="EAF3DE" w:val="clear"/>
            <w:tcMar>
              <w:top w:type="dxa" w:w="80"/>
              <w:left w:type="dxa" w:w="120"/>
              <w:bottom w:type="dxa" w:w="80"/>
              <w:right w:type="dxa" w:w="120"/>
            </w:tcMar>
          </w:tcPr>
          <w:p>
            <w:pPr>
              <w:jc w:val="center"/>
            </w:pPr>
            <w:r>
              <w:rPr>
                <w:rFonts w:ascii="Arial" w:cs="Arial" w:eastAsia="Arial" w:hAnsi="Arial"/>
                <w:b/>
                <w:bCs/>
                <w:i w:val="false"/>
                <w:iCs w:val="false"/>
                <w:color w:val="27500A"/>
                <w:sz w:val="18"/>
                <w:szCs w:val="18"/>
              </w:rPr>
              <w:t xml:space="preserve">🟢 VERIFIED</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iCs/>
                <w:color w:val="888780"/>
                <w:sz w:val="16"/>
                <w:szCs w:val="16"/>
              </w:rPr>
              <w:t xml:space="preserve">PSB FDD direct quote</w:t>
            </w:r>
          </w:p>
        </w:tc>
        <w:tc>
          <w:tcPr>
            <w:tcW w:type="dxa" w:w="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Arial" w:cs="Arial" w:eastAsia="Arial" w:hAnsi="Arial"/>
                <w:b w:val="false"/>
                <w:bCs w:val="false"/>
                <w:i w:val="false"/>
                <w:iCs w:val="false"/>
                <w:color w:val="888780"/>
                <w:sz w:val="16"/>
                <w:szCs w:val="16"/>
              </w:rPr>
              <w:t xml:space="preserve">Apr 24</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i w:val="false"/>
                <w:iCs w:val="false"/>
                <w:sz w:val="18"/>
                <w:szCs w:val="18"/>
              </w:rPr>
              <w:t xml:space="preserve">ServiceMinder at any PSB brand</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i w:val="false"/>
                <w:iCs w:val="false"/>
                <w:color w:val="1A2B3C"/>
                <w:sz w:val="18"/>
                <w:szCs w:val="18"/>
              </w:rPr>
              <w:t xml:space="preserve">NO</w:t>
            </w:r>
          </w:p>
        </w:tc>
        <w:tc>
          <w:tcPr>
            <w:tcW w:type="dxa" w:w="1400"/>
            <w:tcBorders>
              <w:top w:val="single" w:color="CCCCCC" w:sz="4"/>
              <w:left w:val="single" w:color="CCCCCC" w:sz="4"/>
              <w:bottom w:val="single" w:color="CCCCCC" w:sz="4"/>
              <w:right w:val="single" w:color="CCCCCC" w:sz="4"/>
            </w:tcBorders>
            <w:shd w:fill="EAF3DE" w:val="clear"/>
            <w:tcMar>
              <w:top w:type="dxa" w:w="80"/>
              <w:left w:type="dxa" w:w="120"/>
              <w:bottom w:type="dxa" w:w="80"/>
              <w:right w:type="dxa" w:w="120"/>
            </w:tcMar>
          </w:tcPr>
          <w:p>
            <w:pPr>
              <w:jc w:val="center"/>
            </w:pPr>
            <w:r>
              <w:rPr>
                <w:rFonts w:ascii="Arial" w:cs="Arial" w:eastAsia="Arial" w:hAnsi="Arial"/>
                <w:b/>
                <w:bCs/>
                <w:i w:val="false"/>
                <w:iCs w:val="false"/>
                <w:color w:val="27500A"/>
                <w:sz w:val="18"/>
                <w:szCs w:val="18"/>
              </w:rPr>
              <w:t xml:space="preserve">🟢 VERIFIED</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iCs/>
                <w:color w:val="888780"/>
                <w:sz w:val="16"/>
                <w:szCs w:val="16"/>
              </w:rPr>
              <w:t xml:space="preserve">Exhaustive search</w:t>
            </w:r>
          </w:p>
        </w:tc>
        <w:tc>
          <w:tcPr>
            <w:tcW w:type="dxa" w:w="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Arial" w:cs="Arial" w:eastAsia="Arial" w:hAnsi="Arial"/>
                <w:b w:val="false"/>
                <w:bCs w:val="false"/>
                <w:i w:val="false"/>
                <w:iCs w:val="false"/>
                <w:color w:val="888780"/>
                <w:sz w:val="16"/>
                <w:szCs w:val="16"/>
              </w:rPr>
              <w:t xml:space="preserve">Apr 24</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i w:val="false"/>
                <w:iCs w:val="false"/>
                <w:sz w:val="18"/>
                <w:szCs w:val="18"/>
              </w:rPr>
              <w:t xml:space="preserve">ServiceTitan at any PSB brand</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i w:val="false"/>
                <w:iCs w:val="false"/>
                <w:color w:val="1A2B3C"/>
                <w:sz w:val="18"/>
                <w:szCs w:val="18"/>
              </w:rPr>
              <w:t xml:space="preserve">NO</w:t>
            </w:r>
          </w:p>
        </w:tc>
        <w:tc>
          <w:tcPr>
            <w:tcW w:type="dxa" w:w="1400"/>
            <w:tcBorders>
              <w:top w:val="single" w:color="CCCCCC" w:sz="4"/>
              <w:left w:val="single" w:color="CCCCCC" w:sz="4"/>
              <w:bottom w:val="single" w:color="CCCCCC" w:sz="4"/>
              <w:right w:val="single" w:color="CCCCCC" w:sz="4"/>
            </w:tcBorders>
            <w:shd w:fill="EAF3DE" w:val="clear"/>
            <w:tcMar>
              <w:top w:type="dxa" w:w="80"/>
              <w:left w:type="dxa" w:w="120"/>
              <w:bottom w:type="dxa" w:w="80"/>
              <w:right w:type="dxa" w:w="120"/>
            </w:tcMar>
          </w:tcPr>
          <w:p>
            <w:pPr>
              <w:jc w:val="center"/>
            </w:pPr>
            <w:r>
              <w:rPr>
                <w:rFonts w:ascii="Arial" w:cs="Arial" w:eastAsia="Arial" w:hAnsi="Arial"/>
                <w:b/>
                <w:bCs/>
                <w:i w:val="false"/>
                <w:iCs w:val="false"/>
                <w:color w:val="27500A"/>
                <w:sz w:val="18"/>
                <w:szCs w:val="18"/>
              </w:rPr>
              <w:t xml:space="preserve">🟢 VERIFIED</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iCs/>
                <w:color w:val="888780"/>
                <w:sz w:val="16"/>
                <w:szCs w:val="16"/>
              </w:rPr>
              <w:t xml:space="preserve">No partnership announcement</w:t>
            </w:r>
          </w:p>
        </w:tc>
        <w:tc>
          <w:tcPr>
            <w:tcW w:type="dxa" w:w="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Arial" w:cs="Arial" w:eastAsia="Arial" w:hAnsi="Arial"/>
                <w:b w:val="false"/>
                <w:bCs w:val="false"/>
                <w:i w:val="false"/>
                <w:iCs w:val="false"/>
                <w:color w:val="888780"/>
                <w:sz w:val="16"/>
                <w:szCs w:val="16"/>
              </w:rPr>
              <w:t xml:space="preserve">Apr 24</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i w:val="false"/>
                <w:iCs w:val="false"/>
                <w:sz w:val="18"/>
                <w:szCs w:val="18"/>
              </w:rPr>
              <w:t xml:space="preserve">Parent members' deficit (2024)</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i w:val="false"/>
                <w:iCs w:val="false"/>
                <w:color w:val="1A2B3C"/>
                <w:sz w:val="18"/>
                <w:szCs w:val="18"/>
              </w:rPr>
              <w:t xml:space="preserve">$5.8M+</w:t>
            </w:r>
          </w:p>
        </w:tc>
        <w:tc>
          <w:tcPr>
            <w:tcW w:type="dxa" w:w="1400"/>
            <w:tcBorders>
              <w:top w:val="single" w:color="CCCCCC" w:sz="4"/>
              <w:left w:val="single" w:color="CCCCCC" w:sz="4"/>
              <w:bottom w:val="single" w:color="CCCCCC" w:sz="4"/>
              <w:right w:val="single" w:color="CCCCCC" w:sz="4"/>
            </w:tcBorders>
            <w:shd w:fill="EAF3DE" w:val="clear"/>
            <w:tcMar>
              <w:top w:type="dxa" w:w="80"/>
              <w:left w:type="dxa" w:w="120"/>
              <w:bottom w:type="dxa" w:w="80"/>
              <w:right w:type="dxa" w:w="120"/>
            </w:tcMar>
          </w:tcPr>
          <w:p>
            <w:pPr>
              <w:jc w:val="center"/>
            </w:pPr>
            <w:r>
              <w:rPr>
                <w:rFonts w:ascii="Arial" w:cs="Arial" w:eastAsia="Arial" w:hAnsi="Arial"/>
                <w:b/>
                <w:bCs/>
                <w:i w:val="false"/>
                <w:iCs w:val="false"/>
                <w:color w:val="27500A"/>
                <w:sz w:val="18"/>
                <w:szCs w:val="18"/>
              </w:rPr>
              <w:t xml:space="preserve">🟢 VERIFIED</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iCs/>
                <w:color w:val="888780"/>
                <w:sz w:val="16"/>
                <w:szCs w:val="16"/>
              </w:rPr>
              <w:t xml:space="preserve">RooterMan 2025 FDD financials</w:t>
            </w:r>
          </w:p>
        </w:tc>
        <w:tc>
          <w:tcPr>
            <w:tcW w:type="dxa" w:w="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Arial" w:cs="Arial" w:eastAsia="Arial" w:hAnsi="Arial"/>
                <w:b w:val="false"/>
                <w:bCs w:val="false"/>
                <w:i w:val="false"/>
                <w:iCs w:val="false"/>
                <w:color w:val="888780"/>
                <w:sz w:val="16"/>
                <w:szCs w:val="16"/>
              </w:rPr>
              <w:t xml:space="preserve">Apr 24</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i w:val="false"/>
                <w:iCs w:val="false"/>
                <w:sz w:val="18"/>
                <w:szCs w:val="18"/>
              </w:rPr>
              <w:t xml:space="preserve">RooterMan 2024 unit churn</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i w:val="false"/>
                <w:iCs w:val="false"/>
                <w:color w:val="1A2B3C"/>
                <w:sz w:val="18"/>
                <w:szCs w:val="18"/>
              </w:rPr>
              <w:t xml:space="preserve">15% / 100+ units</w:t>
            </w:r>
          </w:p>
        </w:tc>
        <w:tc>
          <w:tcPr>
            <w:tcW w:type="dxa" w:w="1400"/>
            <w:tcBorders>
              <w:top w:val="single" w:color="CCCCCC" w:sz="4"/>
              <w:left w:val="single" w:color="CCCCCC" w:sz="4"/>
              <w:bottom w:val="single" w:color="CCCCCC" w:sz="4"/>
              <w:right w:val="single" w:color="CCCCCC" w:sz="4"/>
            </w:tcBorders>
            <w:shd w:fill="EAF3DE" w:val="clear"/>
            <w:tcMar>
              <w:top w:type="dxa" w:w="80"/>
              <w:left w:type="dxa" w:w="120"/>
              <w:bottom w:type="dxa" w:w="80"/>
              <w:right w:type="dxa" w:w="120"/>
            </w:tcMar>
          </w:tcPr>
          <w:p>
            <w:pPr>
              <w:jc w:val="center"/>
            </w:pPr>
            <w:r>
              <w:rPr>
                <w:rFonts w:ascii="Arial" w:cs="Arial" w:eastAsia="Arial" w:hAnsi="Arial"/>
                <w:b/>
                <w:bCs/>
                <w:i w:val="false"/>
                <w:iCs w:val="false"/>
                <w:color w:val="27500A"/>
                <w:sz w:val="18"/>
                <w:szCs w:val="18"/>
              </w:rPr>
              <w:t xml:space="preserve">🟢 VERIFIED</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iCs/>
                <w:color w:val="888780"/>
                <w:sz w:val="16"/>
                <w:szCs w:val="16"/>
              </w:rPr>
              <w:t xml:space="preserve">RooterMan 2025 FDD Item 20</w:t>
            </w:r>
          </w:p>
        </w:tc>
        <w:tc>
          <w:tcPr>
            <w:tcW w:type="dxa" w:w="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Arial" w:cs="Arial" w:eastAsia="Arial" w:hAnsi="Arial"/>
                <w:b w:val="false"/>
                <w:bCs w:val="false"/>
                <w:i w:val="false"/>
                <w:iCs w:val="false"/>
                <w:color w:val="888780"/>
                <w:sz w:val="16"/>
                <w:szCs w:val="16"/>
              </w:rPr>
              <w:t xml:space="preserve">Apr 24</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i w:val="false"/>
                <w:iCs w:val="false"/>
                <w:sz w:val="18"/>
                <w:szCs w:val="18"/>
              </w:rPr>
              <w:t xml:space="preserve">CEO/Founder</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i w:val="false"/>
                <w:iCs w:val="false"/>
                <w:color w:val="1A2B3C"/>
                <w:sz w:val="18"/>
                <w:szCs w:val="18"/>
              </w:rPr>
              <w:t xml:space="preserve">Paul Flick</w:t>
            </w:r>
          </w:p>
        </w:tc>
        <w:tc>
          <w:tcPr>
            <w:tcW w:type="dxa" w:w="1400"/>
            <w:tcBorders>
              <w:top w:val="single" w:color="CCCCCC" w:sz="4"/>
              <w:left w:val="single" w:color="CCCCCC" w:sz="4"/>
              <w:bottom w:val="single" w:color="CCCCCC" w:sz="4"/>
              <w:right w:val="single" w:color="CCCCCC" w:sz="4"/>
            </w:tcBorders>
            <w:shd w:fill="EAF3DE" w:val="clear"/>
            <w:tcMar>
              <w:top w:type="dxa" w:w="80"/>
              <w:left w:type="dxa" w:w="120"/>
              <w:bottom w:type="dxa" w:w="80"/>
              <w:right w:type="dxa" w:w="120"/>
            </w:tcMar>
          </w:tcPr>
          <w:p>
            <w:pPr>
              <w:jc w:val="center"/>
            </w:pPr>
            <w:r>
              <w:rPr>
                <w:rFonts w:ascii="Arial" w:cs="Arial" w:eastAsia="Arial" w:hAnsi="Arial"/>
                <w:b/>
                <w:bCs/>
                <w:i w:val="false"/>
                <w:iCs w:val="false"/>
                <w:color w:val="27500A"/>
                <w:sz w:val="18"/>
                <w:szCs w:val="18"/>
              </w:rPr>
              <w:t xml:space="preserve">🟢 VERIFIED</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iCs/>
                <w:color w:val="888780"/>
                <w:sz w:val="16"/>
                <w:szCs w:val="16"/>
              </w:rPr>
              <w:t xml:space="preserve">PSB press</w:t>
            </w:r>
          </w:p>
        </w:tc>
        <w:tc>
          <w:tcPr>
            <w:tcW w:type="dxa" w:w="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Arial" w:cs="Arial" w:eastAsia="Arial" w:hAnsi="Arial"/>
                <w:b w:val="false"/>
                <w:bCs w:val="false"/>
                <w:i w:val="false"/>
                <w:iCs w:val="false"/>
                <w:color w:val="888780"/>
                <w:sz w:val="16"/>
                <w:szCs w:val="16"/>
              </w:rPr>
              <w:t xml:space="preserve">Apr 24</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i w:val="false"/>
                <w:iCs w:val="false"/>
                <w:sz w:val="18"/>
                <w:szCs w:val="18"/>
              </w:rPr>
              <w:t xml:space="preserve">COO</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i w:val="false"/>
                <w:iCs w:val="false"/>
                <w:color w:val="1A2B3C"/>
                <w:sz w:val="18"/>
                <w:szCs w:val="18"/>
              </w:rPr>
              <w:t xml:space="preserve">Roxanne Conrad</w:t>
            </w:r>
          </w:p>
        </w:tc>
        <w:tc>
          <w:tcPr>
            <w:tcW w:type="dxa" w:w="1400"/>
            <w:tcBorders>
              <w:top w:val="single" w:color="CCCCCC" w:sz="4"/>
              <w:left w:val="single" w:color="CCCCCC" w:sz="4"/>
              <w:bottom w:val="single" w:color="CCCCCC" w:sz="4"/>
              <w:right w:val="single" w:color="CCCCCC" w:sz="4"/>
            </w:tcBorders>
            <w:shd w:fill="EAF3DE" w:val="clear"/>
            <w:tcMar>
              <w:top w:type="dxa" w:w="80"/>
              <w:left w:type="dxa" w:w="120"/>
              <w:bottom w:type="dxa" w:w="80"/>
              <w:right w:type="dxa" w:w="120"/>
            </w:tcMar>
          </w:tcPr>
          <w:p>
            <w:pPr>
              <w:jc w:val="center"/>
            </w:pPr>
            <w:r>
              <w:rPr>
                <w:rFonts w:ascii="Arial" w:cs="Arial" w:eastAsia="Arial" w:hAnsi="Arial"/>
                <w:b/>
                <w:bCs/>
                <w:i w:val="false"/>
                <w:iCs w:val="false"/>
                <w:color w:val="27500A"/>
                <w:sz w:val="18"/>
                <w:szCs w:val="18"/>
              </w:rPr>
              <w:t xml:space="preserve">🟢 VERIFIED</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iCs/>
                <w:color w:val="888780"/>
                <w:sz w:val="16"/>
                <w:szCs w:val="16"/>
              </w:rPr>
              <w:t xml:space="preserve">PSB press</w:t>
            </w:r>
          </w:p>
        </w:tc>
        <w:tc>
          <w:tcPr>
            <w:tcW w:type="dxa" w:w="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Arial" w:cs="Arial" w:eastAsia="Arial" w:hAnsi="Arial"/>
                <w:b w:val="false"/>
                <w:bCs w:val="false"/>
                <w:i w:val="false"/>
                <w:iCs w:val="false"/>
                <w:color w:val="888780"/>
                <w:sz w:val="16"/>
                <w:szCs w:val="16"/>
              </w:rPr>
              <w:t xml:space="preserve">Apr 24</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i w:val="false"/>
                <w:iCs w:val="false"/>
                <w:sz w:val="18"/>
                <w:szCs w:val="18"/>
              </w:rPr>
              <w:t xml:space="preserve">PE owner</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i w:val="false"/>
                <w:iCs w:val="false"/>
                <w:color w:val="1A2B3C"/>
                <w:sz w:val="18"/>
                <w:szCs w:val="18"/>
              </w:rPr>
              <w:t xml:space="preserve">Susquehanna Private Capital</w:t>
            </w:r>
          </w:p>
        </w:tc>
        <w:tc>
          <w:tcPr>
            <w:tcW w:type="dxa" w:w="1400"/>
            <w:tcBorders>
              <w:top w:val="single" w:color="CCCCCC" w:sz="4"/>
              <w:left w:val="single" w:color="CCCCCC" w:sz="4"/>
              <w:bottom w:val="single" w:color="CCCCCC" w:sz="4"/>
              <w:right w:val="single" w:color="CCCCCC" w:sz="4"/>
            </w:tcBorders>
            <w:shd w:fill="EAF3DE" w:val="clear"/>
            <w:tcMar>
              <w:top w:type="dxa" w:w="80"/>
              <w:left w:type="dxa" w:w="120"/>
              <w:bottom w:type="dxa" w:w="80"/>
              <w:right w:type="dxa" w:w="120"/>
            </w:tcMar>
          </w:tcPr>
          <w:p>
            <w:pPr>
              <w:jc w:val="center"/>
            </w:pPr>
            <w:r>
              <w:rPr>
                <w:rFonts w:ascii="Arial" w:cs="Arial" w:eastAsia="Arial" w:hAnsi="Arial"/>
                <w:b/>
                <w:bCs/>
                <w:i w:val="false"/>
                <w:iCs w:val="false"/>
                <w:color w:val="27500A"/>
                <w:sz w:val="18"/>
                <w:szCs w:val="18"/>
              </w:rPr>
              <w:t xml:space="preserve">🟢 VERIFIED</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iCs/>
                <w:color w:val="888780"/>
                <w:sz w:val="16"/>
                <w:szCs w:val="16"/>
              </w:rPr>
              <w:t xml:space="preserve">PSB FDD</w:t>
            </w:r>
          </w:p>
        </w:tc>
        <w:tc>
          <w:tcPr>
            <w:tcW w:type="dxa" w:w="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Arial" w:cs="Arial" w:eastAsia="Arial" w:hAnsi="Arial"/>
                <w:b w:val="false"/>
                <w:bCs w:val="false"/>
                <w:i w:val="false"/>
                <w:iCs w:val="false"/>
                <w:color w:val="888780"/>
                <w:sz w:val="16"/>
                <w:szCs w:val="16"/>
              </w:rPr>
              <w:t xml:space="preserve">Apr 24</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i w:val="false"/>
                <w:iCs w:val="false"/>
                <w:sz w:val="18"/>
                <w:szCs w:val="18"/>
              </w:rPr>
              <w:t xml:space="preserve">GPO Status</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i w:val="false"/>
                <w:iCs w:val="false"/>
                <w:color w:val="1A2B3C"/>
                <w:sz w:val="18"/>
                <w:szCs w:val="18"/>
              </w:rPr>
              <w:t xml:space="preserve">No formal GPO</w:t>
            </w:r>
          </w:p>
        </w:tc>
        <w:tc>
          <w:tcPr>
            <w:tcW w:type="dxa" w:w="1400"/>
            <w:tcBorders>
              <w:top w:val="single" w:color="CCCCCC" w:sz="4"/>
              <w:left w:val="single" w:color="CCCCCC" w:sz="4"/>
              <w:bottom w:val="single" w:color="CCCCCC" w:sz="4"/>
              <w:right w:val="single" w:color="CCCCCC" w:sz="4"/>
            </w:tcBorders>
            <w:shd w:fill="EAF3DE" w:val="clear"/>
            <w:tcMar>
              <w:top w:type="dxa" w:w="80"/>
              <w:left w:type="dxa" w:w="120"/>
              <w:bottom w:type="dxa" w:w="80"/>
              <w:right w:type="dxa" w:w="120"/>
            </w:tcMar>
          </w:tcPr>
          <w:p>
            <w:pPr>
              <w:jc w:val="center"/>
            </w:pPr>
            <w:r>
              <w:rPr>
                <w:rFonts w:ascii="Arial" w:cs="Arial" w:eastAsia="Arial" w:hAnsi="Arial"/>
                <w:b/>
                <w:bCs/>
                <w:i w:val="false"/>
                <w:iCs w:val="false"/>
                <w:color w:val="27500A"/>
                <w:sz w:val="18"/>
                <w:szCs w:val="18"/>
              </w:rPr>
              <w:t xml:space="preserve">🟢 VERIFIED</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iCs/>
                <w:color w:val="888780"/>
                <w:sz w:val="16"/>
                <w:szCs w:val="16"/>
              </w:rPr>
              <w:t xml:space="preserve">Web research (no procurement program identified)</w:t>
            </w:r>
          </w:p>
        </w:tc>
        <w:tc>
          <w:tcPr>
            <w:tcW w:type="dxa" w:w="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Arial" w:cs="Arial" w:eastAsia="Arial" w:hAnsi="Arial"/>
                <w:b w:val="false"/>
                <w:bCs w:val="false"/>
                <w:i w:val="false"/>
                <w:iCs w:val="false"/>
                <w:color w:val="888780"/>
                <w:sz w:val="16"/>
                <w:szCs w:val="16"/>
              </w:rPr>
              <w:t xml:space="preserve">Apr 28</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i w:val="false"/>
                <w:iCs w:val="false"/>
                <w:sz w:val="18"/>
                <w:szCs w:val="18"/>
              </w:rPr>
              <w:t xml:space="preserve">Consumer/Commercial mix</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i w:val="false"/>
                <w:iCs w:val="false"/>
                <w:color w:val="1A2B3C"/>
                <w:sz w:val="18"/>
                <w:szCs w:val="18"/>
              </w:rPr>
              <w:t xml:space="preserve">Consumer 85%</w:t>
            </w:r>
          </w:p>
        </w:tc>
        <w:tc>
          <w:tcPr>
            <w:tcW w:type="dxa" w:w="1400"/>
            <w:tcBorders>
              <w:top w:val="single" w:color="CCCCCC" w:sz="4"/>
              <w:left w:val="single" w:color="CCCCCC" w:sz="4"/>
              <w:bottom w:val="single" w:color="CCCCCC" w:sz="4"/>
              <w:right w:val="single" w:color="CCCCCC" w:sz="4"/>
            </w:tcBorders>
            <w:shd w:fill="E8F4F4" w:val="clear"/>
            <w:tcMar>
              <w:top w:type="dxa" w:w="80"/>
              <w:left w:type="dxa" w:w="120"/>
              <w:bottom w:type="dxa" w:w="80"/>
              <w:right w:type="dxa" w:w="120"/>
            </w:tcMar>
          </w:tcPr>
          <w:p>
            <w:pPr>
              <w:jc w:val="center"/>
            </w:pPr>
            <w:r>
              <w:rPr>
                <w:rFonts w:ascii="Arial" w:cs="Arial" w:eastAsia="Arial" w:hAnsi="Arial"/>
                <w:b/>
                <w:bCs/>
                <w:i w:val="false"/>
                <w:iCs w:val="false"/>
                <w:color w:val="0F4C5C"/>
                <w:sz w:val="18"/>
                <w:szCs w:val="18"/>
              </w:rPr>
              <w:t xml:space="preserve">🟡 INDUSTRY_VERIFIED</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iCs/>
                <w:color w:val="888780"/>
                <w:sz w:val="16"/>
                <w:szCs w:val="16"/>
              </w:rPr>
              <w:t xml:space="preserve">Brand portfolio analysis — RooterMan + home services dominate</w:t>
            </w:r>
          </w:p>
        </w:tc>
        <w:tc>
          <w:tcPr>
            <w:tcW w:type="dxa" w:w="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Arial" w:cs="Arial" w:eastAsia="Arial" w:hAnsi="Arial"/>
                <w:b w:val="false"/>
                <w:bCs w:val="false"/>
                <w:i w:val="false"/>
                <w:iCs w:val="false"/>
                <w:color w:val="888780"/>
                <w:sz w:val="16"/>
                <w:szCs w:val="16"/>
              </w:rPr>
              <w:t xml:space="preserve">Apr 28</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i w:val="false"/>
                <w:iCs w:val="false"/>
                <w:sz w:val="18"/>
                <w:szCs w:val="18"/>
              </w:rPr>
              <w:t xml:space="preserve">Existing Telematics Solution</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i w:val="false"/>
                <w:iCs w:val="false"/>
                <w:color w:val="1A2B3C"/>
                <w:sz w:val="18"/>
                <w:szCs w:val="18"/>
              </w:rPr>
              <w:t xml:space="preserve">TBD — GPSI sales team to validate</w:t>
            </w:r>
          </w:p>
        </w:tc>
        <w:tc>
          <w:tcPr>
            <w:tcW w:type="dxa" w:w="1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Arial" w:cs="Arial" w:eastAsia="Arial" w:hAnsi="Arial"/>
                <w:b/>
                <w:bCs/>
                <w:i w:val="false"/>
                <w:iCs w:val="false"/>
                <w:color w:val="555555"/>
                <w:sz w:val="18"/>
                <w:szCs w:val="18"/>
              </w:rPr>
              <w:t xml:space="preserve">⚪ ESTIMATED</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iCs/>
                <w:color w:val="888780"/>
                <w:sz w:val="16"/>
                <w:szCs w:val="16"/>
              </w:rPr>
              <w:t xml:space="preserve">GPS Insight customer database — pending sales team review</w:t>
            </w:r>
          </w:p>
        </w:tc>
        <w:tc>
          <w:tcPr>
            <w:tcW w:type="dxa" w:w="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Arial" w:cs="Arial" w:eastAsia="Arial" w:hAnsi="Arial"/>
                <w:b w:val="false"/>
                <w:bCs w:val="false"/>
                <w:i w:val="false"/>
                <w:iCs w:val="false"/>
                <w:color w:val="888780"/>
                <w:sz w:val="16"/>
                <w:szCs w:val="16"/>
              </w:rPr>
              <w:t xml:space="preserve">Apr 28</w:t>
            </w:r>
          </w:p>
        </w:tc>
      </w:tr>
    </w:tbl>
    <w:p>
      <w:pPr>
        <w:pBdr>
          <w:bottom w:val="single" w:color="185FA5" w:sz="6" w:space="1"/>
        </w:pBdr>
        <w:spacing w:after="120" w:before="120"/>
      </w:pPr>
    </w:p>
    <w:p>
      <w:pPr>
        <w:pStyle w:val="Heading1"/>
        <w:spacing w:after="180" w:before="360"/>
      </w:pPr>
      <w:r>
        <w:rPr>
          <w:rFonts w:ascii="Arial" w:cs="Arial" w:eastAsia="Arial" w:hAnsi="Arial"/>
          <w:b/>
          <w:bCs/>
          <w:color w:val="1A2B3C"/>
          <w:sz w:val="32"/>
          <w:szCs w:val="32"/>
        </w:rPr>
        <w:t xml:space="preserve">💰 PE exit math &amp; ROI — what we bring to the franchisor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EAF3DE" w:val="clear"/>
            <w:tcMar>
              <w:top w:type="dxa" w:w="200"/>
              <w:left w:type="dxa" w:w="240"/>
              <w:bottom w:type="dxa" w:w="200"/>
              <w:right w:type="dxa" w:w="240"/>
            </w:tcMar>
          </w:tcPr>
          <w:p>
            <w:pPr>
              <w:spacing w:after="120"/>
            </w:pPr>
            <w:r>
              <w:rPr>
                <w:rFonts w:ascii="Arial" w:cs="Arial" w:eastAsia="Arial" w:hAnsi="Arial"/>
                <w:b/>
                <w:bCs/>
                <w:color w:val="1A2B3C"/>
                <w:sz w:val="24"/>
                <w:szCs w:val="24"/>
              </w:rPr>
              <w:t xml:space="preserve">Why this matters to PE in one sentence</w:t>
            </w:r>
          </w:p>
          <w:p>
            <w:r>
              <w:rPr>
                <w:rFonts w:ascii="Arial" w:cs="Arial" w:eastAsia="Arial" w:hAnsi="Arial"/>
                <w:sz w:val="22"/>
                <w:szCs w:val="22"/>
              </w:rPr>
              <w:t xml:space="preserve">Every $1 of franchisee-level EBITDA improvement converts to $10–14 of enterprise value at PE exit. A franchisor-funded FSM platform that costs $0.25 per $1 of EBITDA added delivers 40–50x ROI on invested capital over a typical hold period.</w:t>
            </w:r>
          </w:p>
        </w:tc>
      </w:tr>
    </w:tbl>
    <w:p>
      <w:pPr>
        <w:pStyle w:val="Heading2"/>
        <w:spacing w:after="140" w:before="280"/>
      </w:pPr>
      <w:r>
        <w:rPr>
          <w:rFonts w:ascii="Arial" w:cs="Arial" w:eastAsia="Arial" w:hAnsi="Arial"/>
          <w:b/>
          <w:bCs/>
          <w:color w:val="185FA5"/>
          <w:sz w:val="26"/>
          <w:szCs w:val="26"/>
        </w:rPr>
        <w:t xml:space="preserve">The exit multiple math</w:t>
      </w:r>
    </w:p>
    <w:p>
      <w:pPr>
        <w:spacing w:after="80" w:before="80"/>
      </w:pPr>
      <w:r>
        <w:rPr>
          <w:rFonts w:ascii="Arial" w:cs="Arial" w:eastAsia="Arial" w:hAnsi="Arial"/>
          <w:sz w:val="22"/>
          <w:szCs w:val="22"/>
        </w:rPr>
        <w:t xml:space="preserve">Home services franchisor exits consistently price at tech-enabled multiples: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rPr>
          <w:tblHeader/>
        </w:trPr>
        <w:tc>
          <w:tcPr>
            <w:tcW w:type="dxa" w:w="3500"/>
            <w:tcBorders>
              <w:top w:val="single" w:color="CCCCCC" w:sz="4"/>
              <w:left w:val="single" w:color="CCCCCC" w:sz="4"/>
              <w:bottom w:val="single" w:color="CCCCCC" w:sz="4"/>
              <w:right w:val="single" w:color="CCCCCC" w:sz="4"/>
            </w:tcBorders>
            <w:shd w:fill="1A2B3C"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Exit Category</w:t>
            </w:r>
          </w:p>
        </w:tc>
        <w:tc>
          <w:tcPr>
            <w:tcW w:type="dxa" w:w="3000"/>
            <w:tcBorders>
              <w:top w:val="single" w:color="CCCCCC" w:sz="4"/>
              <w:left w:val="single" w:color="CCCCCC" w:sz="4"/>
              <w:bottom w:val="single" w:color="CCCCCC" w:sz="4"/>
              <w:right w:val="single" w:color="CCCCCC" w:sz="4"/>
            </w:tcBorders>
            <w:shd w:fill="1A2B3C"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EBITDA Multiple Range</w:t>
            </w:r>
          </w:p>
        </w:tc>
        <w:tc>
          <w:tcPr>
            <w:tcW w:type="dxa" w:w="2860"/>
            <w:tcBorders>
              <w:top w:val="single" w:color="CCCCCC" w:sz="4"/>
              <w:left w:val="single" w:color="CCCCCC" w:sz="4"/>
              <w:bottom w:val="single" w:color="CCCCCC" w:sz="4"/>
              <w:right w:val="single" w:color="CCCCCC" w:sz="4"/>
            </w:tcBorders>
            <w:shd w:fill="1A2B3C"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Source</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i w:val="false"/>
                <w:iCs w:val="false"/>
                <w:sz w:val="20"/>
                <w:szCs w:val="20"/>
              </w:rPr>
              <w:t xml:space="preserve">Established home services</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Arial" w:cs="Arial" w:eastAsia="Arial" w:hAnsi="Arial"/>
                <w:b/>
                <w:bCs/>
                <w:i w:val="false"/>
                <w:iCs w:val="false"/>
                <w:color w:val="1A2B3C"/>
                <w:sz w:val="22"/>
                <w:szCs w:val="22"/>
              </w:rPr>
              <w:t xml:space="preserve">8–12x EBITDA</w:t>
            </w:r>
          </w:p>
        </w:tc>
        <w:tc>
          <w:tcPr>
            <w:tcW w:type="dxa" w:w="2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iCs/>
                <w:color w:val="888780"/>
                <w:sz w:val="16"/>
                <w:szCs w:val="16"/>
              </w:rPr>
              <w:t xml:space="preserve">GF Data · PitchBook · industry benchmarks</w:t>
            </w:r>
          </w:p>
        </w:tc>
      </w:tr>
      <w:tr>
        <w:tc>
          <w:tcPr>
            <w:tcW w:type="dxa" w:w="3500"/>
            <w:tcBorders>
              <w:top w:val="single" w:color="CCCCCC" w:sz="4"/>
              <w:left w:val="single" w:color="CCCCCC" w:sz="4"/>
              <w:bottom w:val="single" w:color="CCCCCC" w:sz="4"/>
              <w:right w:val="single" w:color="CCCCCC" w:sz="4"/>
            </w:tcBorders>
            <w:shd w:fill="EAF3DE" w:val="clear"/>
            <w:tcMar>
              <w:top w:type="dxa" w:w="80"/>
              <w:left w:type="dxa" w:w="120"/>
              <w:bottom w:type="dxa" w:w="80"/>
              <w:right w:type="dxa" w:w="120"/>
            </w:tcMar>
          </w:tcPr>
          <w:p>
            <w:pPr>
              <w:jc w:val="left"/>
            </w:pPr>
            <w:r>
              <w:rPr>
                <w:rFonts w:ascii="Arial" w:cs="Arial" w:eastAsia="Arial" w:hAnsi="Arial"/>
                <w:b/>
                <w:bCs/>
                <w:i w:val="false"/>
                <w:iCs w:val="false"/>
                <w:sz w:val="20"/>
                <w:szCs w:val="20"/>
              </w:rPr>
              <w:t xml:space="preserve">Tech-enabled home services</w:t>
            </w:r>
          </w:p>
        </w:tc>
        <w:tc>
          <w:tcPr>
            <w:tcW w:type="dxa" w:w="3000"/>
            <w:tcBorders>
              <w:top w:val="single" w:color="CCCCCC" w:sz="4"/>
              <w:left w:val="single" w:color="CCCCCC" w:sz="4"/>
              <w:bottom w:val="single" w:color="CCCCCC" w:sz="4"/>
              <w:right w:val="single" w:color="CCCCCC" w:sz="4"/>
            </w:tcBorders>
            <w:shd w:fill="EAF3DE" w:val="clear"/>
            <w:tcMar>
              <w:top w:type="dxa" w:w="80"/>
              <w:left w:type="dxa" w:w="120"/>
              <w:bottom w:type="dxa" w:w="80"/>
              <w:right w:type="dxa" w:w="120"/>
            </w:tcMar>
          </w:tcPr>
          <w:p>
            <w:pPr>
              <w:jc w:val="center"/>
            </w:pPr>
            <w:r>
              <w:rPr>
                <w:rFonts w:ascii="Arial" w:cs="Arial" w:eastAsia="Arial" w:hAnsi="Arial"/>
                <w:b/>
                <w:bCs/>
                <w:i w:val="false"/>
                <w:iCs w:val="false"/>
                <w:color w:val="27500A"/>
                <w:sz w:val="22"/>
                <w:szCs w:val="22"/>
              </w:rPr>
              <w:t xml:space="preserve">10–14x EBITDA</w:t>
            </w:r>
          </w:p>
        </w:tc>
        <w:tc>
          <w:tcPr>
            <w:tcW w:type="dxa" w:w="2860"/>
            <w:tcBorders>
              <w:top w:val="single" w:color="CCCCCC" w:sz="4"/>
              <w:left w:val="single" w:color="CCCCCC" w:sz="4"/>
              <w:bottom w:val="single" w:color="CCCCCC" w:sz="4"/>
              <w:right w:val="single" w:color="CCCCCC" w:sz="4"/>
            </w:tcBorders>
            <w:shd w:fill="EAF3DE" w:val="clear"/>
            <w:tcMar>
              <w:top w:type="dxa" w:w="80"/>
              <w:left w:type="dxa" w:w="120"/>
              <w:bottom w:type="dxa" w:w="80"/>
              <w:right w:type="dxa" w:w="120"/>
            </w:tcMar>
          </w:tcPr>
          <w:p>
            <w:pPr>
              <w:jc w:val="left"/>
            </w:pPr>
            <w:r>
              <w:rPr>
                <w:rFonts w:ascii="Arial" w:cs="Arial" w:eastAsia="Arial" w:hAnsi="Arial"/>
                <w:b w:val="false"/>
                <w:bCs w:val="false"/>
                <w:i/>
                <w:iCs/>
                <w:color w:val="27500A"/>
                <w:sz w:val="16"/>
                <w:szCs w:val="16"/>
              </w:rPr>
              <w:t xml:space="preserve">Higher for proven tech-enabled platforms</w:t>
            </w:r>
          </w:p>
        </w:tc>
      </w:tr>
      <w:tr>
        <w:tc>
          <w:tcPr>
            <w:tcW w:type="dxa" w:w="3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bCs/>
                <w:i w:val="false"/>
                <w:iCs w:val="false"/>
                <w:sz w:val="20"/>
                <w:szCs w:val="20"/>
              </w:rPr>
              <w:t xml:space="preserve">Value creation breakdown (PE-era)</w:t>
            </w:r>
          </w:p>
        </w:tc>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Arial" w:cs="Arial" w:eastAsia="Arial" w:hAnsi="Arial"/>
                <w:b w:val="false"/>
                <w:bCs w:val="false"/>
                <w:i w:val="false"/>
                <w:iCs w:val="false"/>
                <w:sz w:val="16"/>
                <w:szCs w:val="16"/>
              </w:rPr>
              <w:t xml:space="preserve">32% multiple expansion · 54% VCI</w:t>
            </w:r>
          </w:p>
        </w:tc>
        <w:tc>
          <w:tcPr>
            <w:tcW w:type="dxa" w:w="28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i/>
                <w:iCs/>
                <w:color w:val="888780"/>
                <w:sz w:val="16"/>
                <w:szCs w:val="16"/>
              </w:rPr>
              <w:t xml:space="preserve">McKinsey / Bain PE value-creation studies</w:t>
            </w:r>
          </w:p>
        </w:tc>
      </w:tr>
    </w:tbl>
    <w:p>
      <w:pPr>
        <w:spacing w:after="80" w:before="80"/>
      </w:pPr>
      <w:r>
        <w:rPr>
          <w:rFonts w:ascii="Arial" w:cs="Arial" w:eastAsia="Arial" w:hAnsi="Arial"/>
          <w:sz w:val="22"/>
          <w:szCs w:val="22"/>
        </w:rPr>
        <w:t xml:space="preserve"/>
      </w:r>
    </w:p>
    <w:p>
      <w:pPr>
        <w:spacing w:after="80" w:before="80"/>
      </w:pPr>
      <w:r>
        <w:rPr>
          <w:rFonts w:ascii="Arial" w:cs="Arial" w:eastAsia="Arial" w:hAnsi="Arial"/>
          <w:i/>
          <w:iCs/>
          <w:color w:val="595959"/>
          <w:sz w:val="22"/>
          <w:szCs w:val="22"/>
        </w:rPr>
        <w:t xml:space="preserve">VCI = Value Creation Initiatives. FSM platform consolidation is a textbook VCI — directly improves franchisee unit economics, which flows through to franchisor royalty economics, which is what the PE buyer is paying for.</w:t>
      </w:r>
    </w:p>
    <w:p>
      <w:pPr>
        <w:pStyle w:val="Heading2"/>
        <w:spacing w:after="140" w:before="280"/>
      </w:pPr>
      <w:r>
        <w:rPr>
          <w:rFonts w:ascii="Arial" w:cs="Arial" w:eastAsia="Arial" w:hAnsi="Arial"/>
          <w:b/>
          <w:bCs/>
          <w:color w:val="185FA5"/>
          <w:sz w:val="26"/>
          <w:szCs w:val="26"/>
        </w:rPr>
        <w:t xml:space="preserve">PSB — franchisor-level ROI model</w:t>
      </w:r>
    </w:p>
    <w:p>
      <w:pPr>
        <w:spacing w:after="80" w:before="80"/>
      </w:pPr>
      <w:r>
        <w:rPr>
          <w:rFonts w:ascii="Arial" w:cs="Arial" w:eastAsia="Arial" w:hAnsi="Arial"/>
          <w:sz w:val="22"/>
          <w:szCs w:val="22"/>
        </w:rPr>
        <w:t xml:space="preserve">The model is straightforward — if ServiceBridge is adopted across PSB's network, what does that do to PSB's exit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rPr>
          <w:tblHeader/>
        </w:trPr>
        <w:tc>
          <w:tcPr>
            <w:tcW w:type="dxa" w:w="3200"/>
            <w:tcBorders>
              <w:top w:val="single" w:color="CCCCCC" w:sz="4"/>
              <w:left w:val="single" w:color="CCCCCC" w:sz="4"/>
              <w:bottom w:val="single" w:color="CCCCCC" w:sz="4"/>
              <w:right w:val="single" w:color="CCCCCC" w:sz="4"/>
            </w:tcBorders>
            <w:shd w:fill="1A2B3C"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Variable</w:t>
            </w:r>
          </w:p>
        </w:tc>
        <w:tc>
          <w:tcPr>
            <w:tcW w:type="dxa" w:w="3080"/>
            <w:tcBorders>
              <w:top w:val="single" w:color="CCCCCC" w:sz="4"/>
              <w:left w:val="single" w:color="CCCCCC" w:sz="4"/>
              <w:bottom w:val="single" w:color="CCCCCC" w:sz="4"/>
              <w:right w:val="single" w:color="CCCCCC" w:sz="4"/>
            </w:tcBorders>
            <w:shd w:fill="1A2B3C"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Assumption</w:t>
            </w:r>
          </w:p>
        </w:tc>
        <w:tc>
          <w:tcPr>
            <w:tcW w:type="dxa" w:w="3080"/>
            <w:tcBorders>
              <w:top w:val="single" w:color="CCCCCC" w:sz="4"/>
              <w:left w:val="single" w:color="CCCCCC" w:sz="4"/>
              <w:bottom w:val="single" w:color="CCCCCC" w:sz="4"/>
              <w:right w:val="single" w:color="CCCCCC" w:sz="4"/>
            </w:tcBorders>
            <w:shd w:fill="1A2B3C"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Math</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Franchisee EBITDA improvement from FSM</w:t>
            </w:r>
          </w:p>
        </w:tc>
        <w:tc>
          <w:tcPr>
            <w:tcW w:type="dxa" w:w="30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Arial" w:cs="Arial" w:eastAsia="Arial" w:hAnsi="Arial"/>
                <w:b/>
                <w:bCs/>
                <w:i w:val="false"/>
                <w:iCs w:val="false"/>
                <w:color w:val="1A2B3C"/>
                <w:sz w:val="20"/>
                <w:szCs w:val="20"/>
              </w:rPr>
              <w:t xml:space="preserve">$8K/tech/year</w:t>
            </w:r>
          </w:p>
        </w:tc>
        <w:tc>
          <w:tcPr>
            <w:tcW w:type="dxa" w:w="30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Arial" w:cs="Arial" w:eastAsia="Arial" w:hAnsi="Arial"/>
                <w:b w:val="false"/>
                <w:bCs w:val="false"/>
                <w:i/>
                <w:iCs/>
                <w:color w:val="888780"/>
                <w:sz w:val="16"/>
                <w:szCs w:val="16"/>
              </w:rPr>
              <w:t xml:space="preserve">Route efficiency · job density · billing capture</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Network tech base</w:t>
            </w:r>
          </w:p>
        </w:tc>
        <w:tc>
          <w:tcPr>
            <w:tcW w:type="dxa" w:w="30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Arial" w:cs="Arial" w:eastAsia="Arial" w:hAnsi="Arial"/>
                <w:b/>
                <w:bCs/>
                <w:i w:val="false"/>
                <w:iCs w:val="false"/>
                <w:color w:val="1A2B3C"/>
                <w:sz w:val="20"/>
                <w:szCs w:val="20"/>
              </w:rPr>
              <w:t xml:space="preserve">4,500 techs</w:t>
            </w:r>
          </w:p>
        </w:tc>
        <w:tc>
          <w:tcPr>
            <w:tcW w:type="dxa" w:w="30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Arial" w:cs="Arial" w:eastAsia="Arial" w:hAnsi="Arial"/>
                <w:b w:val="false"/>
                <w:bCs w:val="false"/>
                <w:i/>
                <w:iCs/>
                <w:color w:val="888780"/>
                <w:sz w:val="16"/>
                <w:szCs w:val="16"/>
              </w:rPr>
              <w:t xml:space="preserve">Vertical-calibrated from 2024-2025 FDDs (RooterMan 720-750, 360° Painting 86, ProLift 72-94, Maid Right 29-44)</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Buy-in rate assumed</w:t>
            </w:r>
          </w:p>
        </w:tc>
        <w:tc>
          <w:tcPr>
            <w:tcW w:type="dxa" w:w="30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Arial" w:cs="Arial" w:eastAsia="Arial" w:hAnsi="Arial"/>
                <w:b/>
                <w:bCs/>
                <w:i w:val="false"/>
                <w:iCs w:val="false"/>
                <w:color w:val="1A2B3C"/>
                <w:sz w:val="20"/>
                <w:szCs w:val="20"/>
              </w:rPr>
              <w:t xml:space="preserve">10% (working baseline)</w:t>
            </w:r>
          </w:p>
        </w:tc>
        <w:tc>
          <w:tcPr>
            <w:tcW w:type="dxa" w:w="30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Arial" w:cs="Arial" w:eastAsia="Arial" w:hAnsi="Arial"/>
                <w:b w:val="false"/>
                <w:bCs w:val="false"/>
                <w:i/>
                <w:iCs/>
                <w:color w:val="888780"/>
                <w:sz w:val="16"/>
                <w:szCs w:val="16"/>
              </w:rPr>
              <w:t xml:space="preserve">Conservative Phase 1-2 starting assumption</w:t>
            </w:r>
          </w:p>
        </w:tc>
      </w:tr>
      <w:tr>
        <w:tc>
          <w:tcPr>
            <w:tcW w:type="dxa" w:w="3200"/>
            <w:tcBorders>
              <w:top w:val="single" w:color="CCCCCC" w:sz="4"/>
              <w:left w:val="single" w:color="CCCCCC" w:sz="4"/>
              <w:bottom w:val="single" w:color="CCCCCC" w:sz="4"/>
              <w:right w:val="single" w:color="CCCCCC" w:sz="4"/>
            </w:tcBorders>
            <w:shd w:fill="EAF3DE" w:val="clear"/>
            <w:tcMar>
              <w:top w:type="dxa" w:w="80"/>
              <w:left w:type="dxa" w:w="120"/>
              <w:bottom w:type="dxa" w:w="80"/>
              <w:right w:type="dxa" w:w="120"/>
            </w:tcMar>
          </w:tcPr>
          <w:p>
            <w:pPr>
              <w:jc w:val="left"/>
            </w:pPr>
            <w:r>
              <w:rPr>
                <w:rFonts w:ascii="Arial" w:cs="Arial" w:eastAsia="Arial" w:hAnsi="Arial"/>
                <w:b/>
                <w:bCs/>
                <w:i w:val="false"/>
                <w:iCs w:val="false"/>
                <w:sz w:val="20"/>
                <w:szCs w:val="20"/>
              </w:rPr>
              <w:t xml:space="preserve">Network EBITDA improvement</w:t>
            </w:r>
          </w:p>
        </w:tc>
        <w:tc>
          <w:tcPr>
            <w:tcW w:type="dxa" w:w="3080"/>
            <w:tcBorders>
              <w:top w:val="single" w:color="CCCCCC" w:sz="4"/>
              <w:left w:val="single" w:color="CCCCCC" w:sz="4"/>
              <w:bottom w:val="single" w:color="CCCCCC" w:sz="4"/>
              <w:right w:val="single" w:color="CCCCCC" w:sz="4"/>
            </w:tcBorders>
            <w:shd w:fill="EAF3DE" w:val="clear"/>
            <w:tcMar>
              <w:top w:type="dxa" w:w="80"/>
              <w:left w:type="dxa" w:w="120"/>
              <w:bottom w:type="dxa" w:w="80"/>
              <w:right w:type="dxa" w:w="120"/>
            </w:tcMar>
          </w:tcPr>
          <w:p>
            <w:pPr>
              <w:jc w:val="center"/>
            </w:pPr>
            <w:r>
              <w:rPr>
                <w:rFonts w:ascii="Arial" w:cs="Arial" w:eastAsia="Arial" w:hAnsi="Arial"/>
                <w:b/>
                <w:bCs/>
                <w:i w:val="false"/>
                <w:iCs w:val="false"/>
                <w:color w:val="27500A"/>
                <w:sz w:val="22"/>
                <w:szCs w:val="22"/>
              </w:rPr>
              <w:t xml:space="preserve">$3.60M/yr</w:t>
            </w:r>
          </w:p>
        </w:tc>
        <w:tc>
          <w:tcPr>
            <w:tcW w:type="dxa" w:w="3080"/>
            <w:tcBorders>
              <w:top w:val="single" w:color="CCCCCC" w:sz="4"/>
              <w:left w:val="single" w:color="CCCCCC" w:sz="4"/>
              <w:bottom w:val="single" w:color="CCCCCC" w:sz="4"/>
              <w:right w:val="single" w:color="CCCCCC" w:sz="4"/>
            </w:tcBorders>
            <w:shd w:fill="EAF3DE" w:val="clear"/>
            <w:tcMar>
              <w:top w:type="dxa" w:w="80"/>
              <w:left w:type="dxa" w:w="120"/>
              <w:bottom w:type="dxa" w:w="80"/>
              <w:right w:type="dxa" w:w="120"/>
            </w:tcMar>
          </w:tcPr>
          <w:p>
            <w:pPr>
              <w:jc w:val="center"/>
            </w:pPr>
            <w:r>
              <w:rPr>
                <w:rFonts w:ascii="Arial" w:cs="Arial" w:eastAsia="Arial" w:hAnsi="Arial"/>
                <w:b w:val="false"/>
                <w:bCs w:val="false"/>
                <w:i/>
                <w:iCs/>
                <w:color w:val="27500A"/>
                <w:sz w:val="16"/>
                <w:szCs w:val="16"/>
              </w:rPr>
              <w:t xml:space="preserve">4,500 × 10% × $8K</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Royalty pass-through (~6%)</w:t>
            </w:r>
          </w:p>
        </w:tc>
        <w:tc>
          <w:tcPr>
            <w:tcW w:type="dxa" w:w="30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Arial" w:cs="Arial" w:eastAsia="Arial" w:hAnsi="Arial"/>
                <w:b/>
                <w:bCs/>
                <w:i w:val="false"/>
                <w:iCs w:val="false"/>
                <w:color w:val="1A2B3C"/>
                <w:sz w:val="20"/>
                <w:szCs w:val="20"/>
              </w:rPr>
              <w:t xml:space="preserve">$0.22M/yr</w:t>
            </w:r>
          </w:p>
        </w:tc>
        <w:tc>
          <w:tcPr>
            <w:tcW w:type="dxa" w:w="30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Arial" w:cs="Arial" w:eastAsia="Arial" w:hAnsi="Arial"/>
                <w:b w:val="false"/>
                <w:bCs w:val="false"/>
                <w:i/>
                <w:iCs/>
                <w:color w:val="888780"/>
                <w:sz w:val="16"/>
                <w:szCs w:val="16"/>
              </w:rPr>
              <w:t xml:space="preserve">Typical franchisor royalty rate</w:t>
            </w:r>
          </w:p>
        </w:tc>
      </w:tr>
      <w:tr>
        <w:tc>
          <w:tcPr>
            <w:tcW w:type="dxa" w:w="3200"/>
            <w:tcBorders>
              <w:top w:val="single" w:color="CCCCCC" w:sz="4"/>
              <w:left w:val="single" w:color="CCCCCC" w:sz="4"/>
              <w:bottom w:val="single" w:color="CCCCCC" w:sz="4"/>
              <w:right w:val="single" w:color="CCCCCC" w:sz="4"/>
            </w:tcBorders>
            <w:shd w:fill="FAEEDA" w:val="clear"/>
            <w:tcMar>
              <w:top w:type="dxa" w:w="80"/>
              <w:left w:type="dxa" w:w="120"/>
              <w:bottom w:type="dxa" w:w="80"/>
              <w:right w:type="dxa" w:w="120"/>
            </w:tcMar>
          </w:tcPr>
          <w:p>
            <w:pPr>
              <w:jc w:val="left"/>
            </w:pPr>
            <w:r>
              <w:rPr>
                <w:rFonts w:ascii="Arial" w:cs="Arial" w:eastAsia="Arial" w:hAnsi="Arial"/>
                <w:b/>
                <w:bCs/>
                <w:i w:val="false"/>
                <w:iCs w:val="false"/>
                <w:sz w:val="20"/>
                <w:szCs w:val="20"/>
              </w:rPr>
              <w:t xml:space="preserve">Exit multiple applied (12x)</w:t>
            </w:r>
          </w:p>
        </w:tc>
        <w:tc>
          <w:tcPr>
            <w:tcW w:type="dxa" w:w="3080"/>
            <w:tcBorders>
              <w:top w:val="single" w:color="CCCCCC" w:sz="4"/>
              <w:left w:val="single" w:color="CCCCCC" w:sz="4"/>
              <w:bottom w:val="single" w:color="CCCCCC" w:sz="4"/>
              <w:right w:val="single" w:color="CCCCCC" w:sz="4"/>
            </w:tcBorders>
            <w:shd w:fill="FAEEDA" w:val="clear"/>
            <w:tcMar>
              <w:top w:type="dxa" w:w="80"/>
              <w:left w:type="dxa" w:w="120"/>
              <w:bottom w:type="dxa" w:w="80"/>
              <w:right w:type="dxa" w:w="120"/>
            </w:tcMar>
          </w:tcPr>
          <w:p>
            <w:pPr>
              <w:jc w:val="center"/>
            </w:pPr>
            <w:r>
              <w:rPr>
                <w:rFonts w:ascii="Arial" w:cs="Arial" w:eastAsia="Arial" w:hAnsi="Arial"/>
                <w:b/>
                <w:bCs/>
                <w:i w:val="false"/>
                <w:iCs w:val="false"/>
                <w:color w:val="633806"/>
                <w:sz w:val="22"/>
                <w:szCs w:val="22"/>
              </w:rPr>
              <w:t xml:space="preserve">$2.59M</w:t>
            </w:r>
          </w:p>
        </w:tc>
        <w:tc>
          <w:tcPr>
            <w:tcW w:type="dxa" w:w="3080"/>
            <w:tcBorders>
              <w:top w:val="single" w:color="CCCCCC" w:sz="4"/>
              <w:left w:val="single" w:color="CCCCCC" w:sz="4"/>
              <w:bottom w:val="single" w:color="CCCCCC" w:sz="4"/>
              <w:right w:val="single" w:color="CCCCCC" w:sz="4"/>
            </w:tcBorders>
            <w:shd w:fill="FAEEDA" w:val="clear"/>
            <w:tcMar>
              <w:top w:type="dxa" w:w="80"/>
              <w:left w:type="dxa" w:w="120"/>
              <w:bottom w:type="dxa" w:w="80"/>
              <w:right w:type="dxa" w:w="120"/>
            </w:tcMar>
          </w:tcPr>
          <w:p>
            <w:pPr>
              <w:jc w:val="center"/>
            </w:pPr>
            <w:r>
              <w:rPr>
                <w:rFonts w:ascii="Arial" w:cs="Arial" w:eastAsia="Arial" w:hAnsi="Arial"/>
                <w:b w:val="false"/>
                <w:bCs w:val="false"/>
                <w:i/>
                <w:iCs/>
                <w:color w:val="633806"/>
                <w:sz w:val="16"/>
                <w:szCs w:val="16"/>
              </w:rPr>
              <w:t xml:space="preserve">Franchisor-level exit value add</w:t>
            </w:r>
          </w:p>
        </w:tc>
      </w:tr>
      <w:tr>
        <w:tc>
          <w:tcPr>
            <w:tcW w:type="dxa" w:w="3200"/>
            <w:tcBorders>
              <w:top w:val="single" w:color="CCCCCC" w:sz="4"/>
              <w:left w:val="single" w:color="CCCCCC" w:sz="4"/>
              <w:bottom w:val="single" w:color="CCCCCC" w:sz="4"/>
              <w:right w:val="single" w:color="CCCCCC" w:sz="4"/>
            </w:tcBorders>
            <w:shd w:fill="185FA5"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Direct franchisee-level exit (10x)</w:t>
            </w:r>
          </w:p>
        </w:tc>
        <w:tc>
          <w:tcPr>
            <w:tcW w:type="dxa" w:w="3080"/>
            <w:tcBorders>
              <w:top w:val="single" w:color="CCCCCC" w:sz="4"/>
              <w:left w:val="single" w:color="CCCCCC" w:sz="4"/>
              <w:bottom w:val="single" w:color="CCCCCC" w:sz="4"/>
              <w:right w:val="single" w:color="CCCCCC" w:sz="4"/>
            </w:tcBorders>
            <w:shd w:fill="185FA5" w:val="clear"/>
            <w:tcMar>
              <w:top w:type="dxa" w:w="80"/>
              <w:left w:type="dxa" w:w="120"/>
              <w:bottom w:type="dxa" w:w="80"/>
              <w:right w:type="dxa" w:w="120"/>
            </w:tcMar>
          </w:tcPr>
          <w:p>
            <w:pPr>
              <w:jc w:val="center"/>
            </w:pPr>
            <w:r>
              <w:rPr>
                <w:rFonts w:ascii="Arial" w:cs="Arial" w:eastAsia="Arial" w:hAnsi="Arial"/>
                <w:b/>
                <w:bCs/>
                <w:i w:val="false"/>
                <w:iCs w:val="false"/>
                <w:color w:val="FFFFFF"/>
                <w:sz w:val="22"/>
                <w:szCs w:val="22"/>
              </w:rPr>
              <w:t xml:space="preserve">$36.0M</w:t>
            </w:r>
          </w:p>
        </w:tc>
        <w:tc>
          <w:tcPr>
            <w:tcW w:type="dxa" w:w="3080"/>
            <w:tcBorders>
              <w:top w:val="single" w:color="CCCCCC" w:sz="4"/>
              <w:left w:val="single" w:color="CCCCCC" w:sz="4"/>
              <w:bottom w:val="single" w:color="CCCCCC" w:sz="4"/>
              <w:right w:val="single" w:color="CCCCCC" w:sz="4"/>
            </w:tcBorders>
            <w:shd w:fill="185FA5" w:val="clear"/>
            <w:tcMar>
              <w:top w:type="dxa" w:w="80"/>
              <w:left w:type="dxa" w:w="120"/>
              <w:bottom w:type="dxa" w:w="80"/>
              <w:right w:type="dxa" w:w="120"/>
            </w:tcMar>
          </w:tcPr>
          <w:p>
            <w:pPr>
              <w:jc w:val="center"/>
            </w:pPr>
            <w:r>
              <w:rPr>
                <w:rFonts w:ascii="Arial" w:cs="Arial" w:eastAsia="Arial" w:hAnsi="Arial"/>
                <w:b w:val="false"/>
                <w:bCs w:val="false"/>
                <w:i/>
                <w:iCs/>
                <w:color w:val="FFFFFF"/>
                <w:sz w:val="16"/>
                <w:szCs w:val="16"/>
              </w:rPr>
              <w:t xml:space="preserve">Franchisee network enterprise value lift</w:t>
            </w:r>
          </w:p>
        </w:tc>
      </w:tr>
    </w:tbl>
    <w:p>
      <w:pPr>
        <w:spacing w:after="80" w:before="80"/>
      </w:pPr>
      <w:r>
        <w:rPr>
          <w:rFonts w:ascii="Arial" w:cs="Arial" w:eastAsia="Arial" w:hAnsi="Arial"/>
          <w:sz w:val="22"/>
          <w:szCs w:val="22"/>
        </w:rPr>
        <w:t xml:space="preserve"/>
      </w:r>
    </w:p>
    <w:p>
      <w:pPr>
        <w:spacing w:after="100" w:before="200"/>
      </w:pPr>
      <w:r>
        <w:rPr>
          <w:rFonts w:ascii="Arial" w:cs="Arial" w:eastAsia="Arial" w:hAnsi="Arial"/>
          <w:b/>
          <w:bCs/>
          <w:color w:val="1A2B3C"/>
          <w:sz w:val="22"/>
          <w:szCs w:val="22"/>
        </w:rPr>
        <w:t xml:space="preserve">What ServiceBridge asks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rPr>
          <w:tblHeader/>
        </w:trPr>
        <w:tc>
          <w:tcPr>
            <w:tcW w:type="dxa" w:w="3200"/>
            <w:tcBorders>
              <w:top w:val="single" w:color="CCCCCC" w:sz="4"/>
              <w:left w:val="single" w:color="CCCCCC" w:sz="4"/>
              <w:bottom w:val="single" w:color="CCCCCC" w:sz="4"/>
              <w:right w:val="single" w:color="CCCCCC" w:sz="4"/>
            </w:tcBorders>
            <w:shd w:fill="1A2B3C"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Year</w:t>
            </w:r>
          </w:p>
        </w:tc>
        <w:tc>
          <w:tcPr>
            <w:tcW w:type="dxa" w:w="3080"/>
            <w:tcBorders>
              <w:top w:val="single" w:color="CCCCCC" w:sz="4"/>
              <w:left w:val="single" w:color="CCCCCC" w:sz="4"/>
              <w:bottom w:val="single" w:color="CCCCCC" w:sz="4"/>
              <w:right w:val="single" w:color="CCCCCC" w:sz="4"/>
            </w:tcBorders>
            <w:shd w:fill="1A2B3C"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Investment @ 10% buy-in (baseline)</w:t>
            </w:r>
          </w:p>
        </w:tc>
        <w:tc>
          <w:tcPr>
            <w:tcW w:type="dxa" w:w="3080"/>
            <w:tcBorders>
              <w:top w:val="single" w:color="CCCCCC" w:sz="4"/>
              <w:left w:val="single" w:color="CCCCCC" w:sz="4"/>
              <w:bottom w:val="single" w:color="CCCCCC" w:sz="4"/>
              <w:right w:val="single" w:color="CCCCCC" w:sz="4"/>
            </w:tcBorders>
            <w:shd w:fill="1A2B3C"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Cumulative</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i w:val="false"/>
                <w:iCs w:val="false"/>
                <w:sz w:val="20"/>
                <w:szCs w:val="20"/>
              </w:rPr>
              <w:t xml:space="preserve">Year 1</w:t>
            </w:r>
          </w:p>
        </w:tc>
        <w:tc>
          <w:tcPr>
            <w:tcW w:type="dxa" w:w="30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Arial" w:cs="Arial" w:eastAsia="Arial" w:hAnsi="Arial"/>
                <w:b/>
                <w:bCs/>
                <w:i w:val="false"/>
                <w:iCs w:val="false"/>
                <w:sz w:val="20"/>
                <w:szCs w:val="20"/>
              </w:rPr>
              <w:t xml:space="preserve">$134,730</w:t>
            </w:r>
          </w:p>
        </w:tc>
        <w:tc>
          <w:tcPr>
            <w:tcW w:type="dxa" w:w="30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$134,730</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i w:val="false"/>
                <w:iCs w:val="false"/>
                <w:sz w:val="20"/>
                <w:szCs w:val="20"/>
              </w:rPr>
              <w:t xml:space="preserve">Year 2</w:t>
            </w:r>
          </w:p>
        </w:tc>
        <w:tc>
          <w:tcPr>
            <w:tcW w:type="dxa" w:w="30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Arial" w:cs="Arial" w:eastAsia="Arial" w:hAnsi="Arial"/>
                <w:b/>
                <w:bCs/>
                <w:i w:val="false"/>
                <w:iCs w:val="false"/>
                <w:sz w:val="20"/>
                <w:szCs w:val="20"/>
              </w:rPr>
              <w:t xml:space="preserve">$134,730</w:t>
            </w:r>
          </w:p>
        </w:tc>
        <w:tc>
          <w:tcPr>
            <w:tcW w:type="dxa" w:w="30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$269,460</w:t>
            </w:r>
          </w:p>
        </w:tc>
      </w:tr>
      <w:tr>
        <w:tc>
          <w:tcPr>
            <w:tcW w:type="dxa" w:w="3200"/>
            <w:tcBorders>
              <w:top w:val="single" w:color="CCCCCC" w:sz="4"/>
              <w:left w:val="single" w:color="CCCCCC" w:sz="4"/>
              <w:bottom w:val="single" w:color="CCCCCC" w:sz="4"/>
              <w:right w:val="single" w:color="CCCCCC" w:sz="4"/>
            </w:tcBorders>
            <w:shd w:fill="EAF3DE" w:val="clear"/>
            <w:tcMar>
              <w:top w:type="dxa" w:w="80"/>
              <w:left w:type="dxa" w:w="120"/>
              <w:bottom w:type="dxa" w:w="80"/>
              <w:right w:type="dxa" w:w="120"/>
            </w:tcMar>
          </w:tcPr>
          <w:p>
            <w:pPr>
              <w:jc w:val="left"/>
            </w:pPr>
            <w:r>
              <w:rPr>
                <w:rFonts w:ascii="Arial" w:cs="Arial" w:eastAsia="Arial" w:hAnsi="Arial"/>
                <w:b/>
                <w:bCs/>
                <w:i w:val="false"/>
                <w:iCs w:val="false"/>
                <w:sz w:val="20"/>
                <w:szCs w:val="20"/>
              </w:rPr>
              <w:t xml:space="preserve">Year 3</w:t>
            </w:r>
          </w:p>
        </w:tc>
        <w:tc>
          <w:tcPr>
            <w:tcW w:type="dxa" w:w="3080"/>
            <w:tcBorders>
              <w:top w:val="single" w:color="CCCCCC" w:sz="4"/>
              <w:left w:val="single" w:color="CCCCCC" w:sz="4"/>
              <w:bottom w:val="single" w:color="CCCCCC" w:sz="4"/>
              <w:right w:val="single" w:color="CCCCCC" w:sz="4"/>
            </w:tcBorders>
            <w:shd w:fill="EAF3DE" w:val="clear"/>
            <w:tcMar>
              <w:top w:type="dxa" w:w="80"/>
              <w:left w:type="dxa" w:w="120"/>
              <w:bottom w:type="dxa" w:w="80"/>
              <w:right w:type="dxa" w:w="120"/>
            </w:tcMar>
          </w:tcPr>
          <w:p>
            <w:pPr>
              <w:jc w:val="center"/>
            </w:pPr>
            <w:r>
              <w:rPr>
                <w:rFonts w:ascii="Arial" w:cs="Arial" w:eastAsia="Arial" w:hAnsi="Arial"/>
                <w:b/>
                <w:bCs/>
                <w:i w:val="false"/>
                <w:iCs w:val="false"/>
                <w:sz w:val="20"/>
                <w:szCs w:val="20"/>
              </w:rPr>
              <w:t xml:space="preserve">$134,730</w:t>
            </w:r>
          </w:p>
        </w:tc>
        <w:tc>
          <w:tcPr>
            <w:tcW w:type="dxa" w:w="3080"/>
            <w:tcBorders>
              <w:top w:val="single" w:color="CCCCCC" w:sz="4"/>
              <w:left w:val="single" w:color="CCCCCC" w:sz="4"/>
              <w:bottom w:val="single" w:color="CCCCCC" w:sz="4"/>
              <w:right w:val="single" w:color="CCCCCC" w:sz="4"/>
            </w:tcBorders>
            <w:shd w:fill="EAF3DE" w:val="clear"/>
            <w:tcMar>
              <w:top w:type="dxa" w:w="80"/>
              <w:left w:type="dxa" w:w="120"/>
              <w:bottom w:type="dxa" w:w="80"/>
              <w:right w:type="dxa" w:w="120"/>
            </w:tcMar>
          </w:tcPr>
          <w:p>
            <w:pPr>
              <w:jc w:val="center"/>
            </w:pPr>
            <w:r>
              <w:rPr>
                <w:rFonts w:ascii="Arial" w:cs="Arial" w:eastAsia="Arial" w:hAnsi="Arial"/>
                <w:b/>
                <w:bCs/>
                <w:i w:val="false"/>
                <w:iCs w:val="false"/>
                <w:color w:val="27500A"/>
                <w:sz w:val="22"/>
                <w:szCs w:val="22"/>
              </w:rPr>
              <w:t xml:space="preserve">$404,190</w:t>
            </w:r>
          </w:p>
        </w:tc>
      </w:tr>
    </w:tbl>
    <w:p>
      <w:pPr>
        <w:spacing w:after="80" w:before="80"/>
      </w:pPr>
      <w:r>
        <w:rPr>
          <w:rFonts w:ascii="Arial" w:cs="Arial" w:eastAsia="Arial" w:hAnsi="Arial"/>
          <w:sz w:val="22"/>
          <w:szCs w:val="22"/>
        </w:rPr>
        <w:t xml:space="preserve"/>
      </w:r>
    </w:p>
    <w:p>
      <w:pPr>
        <w:spacing w:after="80" w:before="80"/>
      </w:pPr>
      <w:r>
        <w:rPr>
          <w:rFonts w:ascii="Arial" w:cs="Arial" w:eastAsia="Arial" w:hAnsi="Arial"/>
          <w:i/>
          <w:iCs/>
          <w:color w:val="888780"/>
          <w:sz w:val="22"/>
          <w:szCs w:val="22"/>
        </w:rPr>
        <w:t xml:space="preserve">Stretch case for context: at 25% buy-in, Year 1 ARR jumps to $336,825 and 3-year cumulative reaches $1,010,475. We don't lead with this — 10% is our working baseline. 25% is what the math becomes if early wins compound.</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E8F4F4" w:val="clear"/>
            <w:tcMar>
              <w:top w:type="dxa" w:w="200"/>
              <w:left w:type="dxa" w:w="240"/>
              <w:bottom w:type="dxa" w:w="200"/>
              <w:right w:type="dxa" w:w="240"/>
            </w:tcMar>
          </w:tcPr>
          <w:p>
            <w:pPr>
              <w:spacing w:after="120"/>
            </w:pPr>
            <w:r>
              <w:rPr>
                <w:rFonts w:ascii="Arial" w:cs="Arial" w:eastAsia="Arial" w:hAnsi="Arial"/>
                <w:b/>
                <w:bCs/>
                <w:color w:val="1A2B3C"/>
                <w:sz w:val="24"/>
                <w:szCs w:val="24"/>
              </w:rPr>
              <w:t xml:space="preserve">The ratio that lands this with PE</w:t>
            </w:r>
          </w:p>
          <w:p>
            <w:r>
              <w:rPr>
                <w:rFonts w:ascii="Arial" w:cs="Arial" w:eastAsia="Arial" w:hAnsi="Arial"/>
                <w:sz w:val="22"/>
                <w:szCs w:val="22"/>
              </w:rPr>
              <w:t xml:space="preserve">At 10% buy-in for PSB — our conservative working baseline — franchisee-level exit value creation is ~$36M (10% penetration × $8K/tech EBITDA × 10x multiple). 3-year cumulative ServiceBridge investment is ~$404.19K at 10% buy-in. The ratio of value created to platform cost is roughly 89x. This is the arithmetic that franchisor CFOs and PE operating partners use to evaluate platform initiatives — and 10% is intentionally the floor we set the conversation at, not the ceiling.</w:t>
            </w:r>
          </w:p>
        </w:tc>
      </w:tr>
    </w:tbl>
    <w:p>
      <w:pPr>
        <w:spacing w:after="100" w:before="200"/>
      </w:pPr>
      <w:r>
        <w:rPr>
          <w:rFonts w:ascii="Arial" w:cs="Arial" w:eastAsia="Arial" w:hAnsi="Arial"/>
          <w:b/>
          <w:bCs/>
          <w:color w:val="1A2B3C"/>
          <w:sz w:val="22"/>
          <w:szCs w:val="22"/>
        </w:rPr>
        <w:t xml:space="preserve">How the math shifts with adoption</w:t>
      </w:r>
    </w:p>
    <w:p>
      <w:pPr>
        <w:spacing w:after="80" w:before="80"/>
      </w:pPr>
      <w:r>
        <w:rPr>
          <w:rFonts w:ascii="Arial" w:cs="Arial" w:eastAsia="Arial" w:hAnsi="Arial"/>
          <w:sz w:val="22"/>
          <w:szCs w:val="22"/>
        </w:rPr>
        <w:t xml:space="preserve">At different network penetration rates, the franchisee-level exit value created by a PSB ServiceBridge rollout scales: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4"/>
              <w:left w:val="single" w:color="CCCCCC" w:sz="4"/>
              <w:bottom w:val="single" w:color="CCCCCC" w:sz="4"/>
              <w:right w:val="single" w:color="CCCCCC" w:sz="4"/>
            </w:tcBorders>
            <w:shd w:fill="1A2B3C"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Buy-in rate</w:t>
            </w:r>
          </w:p>
        </w:tc>
        <w:tc>
          <w:tcPr>
            <w:tcW w:type="dxa" w:w="2340"/>
            <w:tcBorders>
              <w:top w:val="single" w:color="CCCCCC" w:sz="4"/>
              <w:left w:val="single" w:color="CCCCCC" w:sz="4"/>
              <w:bottom w:val="single" w:color="CCCCCC" w:sz="4"/>
              <w:right w:val="single" w:color="CCCCCC" w:sz="4"/>
            </w:tcBorders>
            <w:shd w:fill="1A2B3C"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Techs adopting</w:t>
            </w:r>
          </w:p>
        </w:tc>
        <w:tc>
          <w:tcPr>
            <w:tcW w:type="dxa" w:w="2340"/>
            <w:tcBorders>
              <w:top w:val="single" w:color="CCCCCC" w:sz="4"/>
              <w:left w:val="single" w:color="CCCCCC" w:sz="4"/>
              <w:bottom w:val="single" w:color="CCCCCC" w:sz="4"/>
              <w:right w:val="single" w:color="CCCCCC" w:sz="4"/>
            </w:tcBorders>
            <w:shd w:fill="1A2B3C"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Network EBITDA lift</w:t>
            </w:r>
          </w:p>
        </w:tc>
        <w:tc>
          <w:tcPr>
            <w:tcW w:type="dxa" w:w="2340"/>
            <w:tcBorders>
              <w:top w:val="single" w:color="CCCCCC" w:sz="4"/>
              <w:left w:val="single" w:color="CCCCCC" w:sz="4"/>
              <w:bottom w:val="single" w:color="CCCCCC" w:sz="4"/>
              <w:right w:val="single" w:color="CCCCCC" w:sz="4"/>
            </w:tcBorders>
            <w:shd w:fill="1A2B3C"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Franchisee exit value (10x)</w:t>
            </w:r>
          </w:p>
        </w:tc>
      </w:tr>
      <w:tr>
        <w:tc>
          <w:tcPr>
            <w:tcW w:type="dxa" w:w="2340"/>
            <w:tcBorders>
              <w:top w:val="single" w:color="CCCCCC" w:sz="4"/>
              <w:left w:val="single" w:color="CCCCCC" w:sz="4"/>
              <w:bottom w:val="single" w:color="CCCCCC" w:sz="4"/>
              <w:right w:val="single" w:color="CCCCCC" w:sz="4"/>
            </w:tcBorders>
            <w:shd w:fill="EAF3DE" w:val="clear"/>
            <w:tcMar>
              <w:top w:type="dxa" w:w="80"/>
              <w:left w:type="dxa" w:w="120"/>
              <w:bottom w:type="dxa" w:w="80"/>
              <w:right w:type="dxa" w:w="120"/>
            </w:tcMar>
          </w:tcPr>
          <w:p>
            <w:pPr>
              <w:jc w:val="center"/>
            </w:pPr>
            <w:r>
              <w:rPr>
                <w:rFonts w:ascii="Arial" w:cs="Arial" w:eastAsia="Arial" w:hAnsi="Arial"/>
                <w:b/>
                <w:bCs/>
                <w:i w:val="false"/>
                <w:iCs w:val="false"/>
                <w:color w:val="27500A"/>
                <w:sz w:val="20"/>
                <w:szCs w:val="20"/>
              </w:rPr>
              <w:t xml:space="preserve">10% (working baseline)</w:t>
            </w:r>
          </w:p>
        </w:tc>
        <w:tc>
          <w:tcPr>
            <w:tcW w:type="dxa" w:w="2340"/>
            <w:tcBorders>
              <w:top w:val="single" w:color="CCCCCC" w:sz="4"/>
              <w:left w:val="single" w:color="CCCCCC" w:sz="4"/>
              <w:bottom w:val="single" w:color="CCCCCC" w:sz="4"/>
              <w:right w:val="single" w:color="CCCCCC" w:sz="4"/>
            </w:tcBorders>
            <w:shd w:fill="EAF3DE" w:val="clear"/>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450</w:t>
            </w:r>
          </w:p>
        </w:tc>
        <w:tc>
          <w:tcPr>
            <w:tcW w:type="dxa" w:w="2340"/>
            <w:tcBorders>
              <w:top w:val="single" w:color="CCCCCC" w:sz="4"/>
              <w:left w:val="single" w:color="CCCCCC" w:sz="4"/>
              <w:bottom w:val="single" w:color="CCCCCC" w:sz="4"/>
              <w:right w:val="single" w:color="CCCCCC" w:sz="4"/>
            </w:tcBorders>
            <w:shd w:fill="EAF3DE" w:val="clear"/>
            <w:tcMar>
              <w:top w:type="dxa" w:w="80"/>
              <w:left w:type="dxa" w:w="120"/>
              <w:bottom w:type="dxa" w:w="80"/>
              <w:right w:type="dxa" w:w="120"/>
            </w:tcMar>
          </w:tcPr>
          <w:p>
            <w:pPr>
              <w:jc w:val="center"/>
            </w:pPr>
            <w:r>
              <w:rPr>
                <w:rFonts w:ascii="Arial" w:cs="Arial" w:eastAsia="Arial" w:hAnsi="Arial"/>
                <w:b/>
                <w:bCs/>
                <w:i w:val="false"/>
                <w:iCs w:val="false"/>
                <w:sz w:val="20"/>
                <w:szCs w:val="20"/>
              </w:rPr>
              <w:t xml:space="preserve">$3.6M</w:t>
            </w:r>
          </w:p>
        </w:tc>
        <w:tc>
          <w:tcPr>
            <w:tcW w:type="dxa" w:w="2340"/>
            <w:tcBorders>
              <w:top w:val="single" w:color="CCCCCC" w:sz="4"/>
              <w:left w:val="single" w:color="CCCCCC" w:sz="4"/>
              <w:bottom w:val="single" w:color="CCCCCC" w:sz="4"/>
              <w:right w:val="single" w:color="CCCCCC" w:sz="4"/>
            </w:tcBorders>
            <w:shd w:fill="EAF3DE" w:val="clear"/>
            <w:tcMar>
              <w:top w:type="dxa" w:w="80"/>
              <w:left w:type="dxa" w:w="120"/>
              <w:bottom w:type="dxa" w:w="80"/>
              <w:right w:type="dxa" w:w="120"/>
            </w:tcMar>
          </w:tcPr>
          <w:p>
            <w:pPr>
              <w:jc w:val="center"/>
            </w:pPr>
            <w:r>
              <w:rPr>
                <w:rFonts w:ascii="Arial" w:cs="Arial" w:eastAsia="Arial" w:hAnsi="Arial"/>
                <w:b/>
                <w:bCs/>
                <w:i w:val="false"/>
                <w:iCs w:val="false"/>
                <w:color w:val="27500A"/>
                <w:sz w:val="22"/>
                <w:szCs w:val="22"/>
              </w:rPr>
              <w:t xml:space="preserve">$36M</w:t>
            </w:r>
          </w:p>
        </w:tc>
      </w:tr>
      <w:tr>
        <w:tc>
          <w:tcPr>
            <w:tcW w:type="dxa" w:w="2340"/>
            <w:tcBorders>
              <w:top w:val="single" w:color="CCCCCC" w:sz="4"/>
              <w:left w:val="single" w:color="CCCCCC" w:sz="4"/>
              <w:bottom w:val="single" w:color="CCCCCC" w:sz="4"/>
              <w:right w:val="single" w:color="CCCCCC" w:sz="4"/>
            </w:tcBorders>
            <w:shd w:fill="FFF8E1" w:val="clear"/>
            <w:tcMar>
              <w:top w:type="dxa" w:w="80"/>
              <w:left w:type="dxa" w:w="120"/>
              <w:bottom w:type="dxa" w:w="80"/>
              <w:right w:type="dxa" w:w="120"/>
            </w:tcMar>
          </w:tcPr>
          <w:p>
            <w:pPr>
              <w:jc w:val="center"/>
            </w:pPr>
            <w:r>
              <w:rPr>
                <w:rFonts w:ascii="Arial" w:cs="Arial" w:eastAsia="Arial" w:hAnsi="Arial"/>
                <w:b/>
                <w:bCs/>
                <w:i w:val="false"/>
                <w:iCs w:val="false"/>
                <w:color w:val="6B5500"/>
                <w:sz w:val="20"/>
                <w:szCs w:val="20"/>
              </w:rPr>
              <w:t xml:space="preserve">25% (stretch case)</w:t>
            </w:r>
          </w:p>
        </w:tc>
        <w:tc>
          <w:tcPr>
            <w:tcW w:type="dxa" w:w="2340"/>
            <w:tcBorders>
              <w:top w:val="single" w:color="CCCCCC" w:sz="4"/>
              <w:left w:val="single" w:color="CCCCCC" w:sz="4"/>
              <w:bottom w:val="single" w:color="CCCCCC" w:sz="4"/>
              <w:right w:val="single" w:color="CCCCCC" w:sz="4"/>
            </w:tcBorders>
            <w:shd w:fill="FFF8E1" w:val="clear"/>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1,125</w:t>
            </w:r>
          </w:p>
        </w:tc>
        <w:tc>
          <w:tcPr>
            <w:tcW w:type="dxa" w:w="2340"/>
            <w:tcBorders>
              <w:top w:val="single" w:color="CCCCCC" w:sz="4"/>
              <w:left w:val="single" w:color="CCCCCC" w:sz="4"/>
              <w:bottom w:val="single" w:color="CCCCCC" w:sz="4"/>
              <w:right w:val="single" w:color="CCCCCC" w:sz="4"/>
            </w:tcBorders>
            <w:shd w:fill="FFF8E1" w:val="clear"/>
            <w:tcMar>
              <w:top w:type="dxa" w:w="80"/>
              <w:left w:type="dxa" w:w="120"/>
              <w:bottom w:type="dxa" w:w="80"/>
              <w:right w:type="dxa" w:w="120"/>
            </w:tcMar>
          </w:tcPr>
          <w:p>
            <w:pPr>
              <w:jc w:val="center"/>
            </w:pPr>
            <w:r>
              <w:rPr>
                <w:rFonts w:ascii="Arial" w:cs="Arial" w:eastAsia="Arial" w:hAnsi="Arial"/>
                <w:b/>
                <w:bCs/>
                <w:i w:val="false"/>
                <w:iCs w:val="false"/>
                <w:sz w:val="20"/>
                <w:szCs w:val="20"/>
              </w:rPr>
              <w:t xml:space="preserve">$9.0M</w:t>
            </w:r>
          </w:p>
        </w:tc>
        <w:tc>
          <w:tcPr>
            <w:tcW w:type="dxa" w:w="2340"/>
            <w:tcBorders>
              <w:top w:val="single" w:color="CCCCCC" w:sz="4"/>
              <w:left w:val="single" w:color="CCCCCC" w:sz="4"/>
              <w:bottom w:val="single" w:color="CCCCCC" w:sz="4"/>
              <w:right w:val="single" w:color="CCCCCC" w:sz="4"/>
            </w:tcBorders>
            <w:shd w:fill="FFF8E1" w:val="clear"/>
            <w:tcMar>
              <w:top w:type="dxa" w:w="80"/>
              <w:left w:type="dxa" w:w="120"/>
              <w:bottom w:type="dxa" w:w="80"/>
              <w:right w:type="dxa" w:w="120"/>
            </w:tcMar>
          </w:tcPr>
          <w:p>
            <w:pPr>
              <w:jc w:val="center"/>
            </w:pPr>
            <w:r>
              <w:rPr>
                <w:rFonts w:ascii="Arial" w:cs="Arial" w:eastAsia="Arial" w:hAnsi="Arial"/>
                <w:b/>
                <w:bCs/>
                <w:i w:val="false"/>
                <w:iCs w:val="false"/>
                <w:color w:val="6B5500"/>
                <w:sz w:val="22"/>
                <w:szCs w:val="22"/>
              </w:rPr>
              <w:t xml:space="preserve">$90M</w:t>
            </w:r>
          </w:p>
        </w:tc>
      </w:tr>
    </w:tbl>
    <w:p>
      <w:pPr>
        <w:pBdr>
          <w:bottom w:val="single" w:color="185FA5" w:sz="6" w:space="1"/>
        </w:pBdr>
        <w:spacing w:after="120" w:before="120"/>
      </w:pPr>
    </w:p>
    <w:p>
      <w:pPr>
        <w:pStyle w:val="Heading1"/>
        <w:spacing w:after="180" w:before="360"/>
      </w:pPr>
      <w:r>
        <w:rPr>
          <w:rFonts w:ascii="Arial" w:cs="Arial" w:eastAsia="Arial" w:hAnsi="Arial"/>
          <w:b/>
          <w:bCs/>
          <w:color w:val="1A2B3C"/>
          <w:sz w:val="32"/>
          <w:szCs w:val="32"/>
        </w:rPr>
        <w:t xml:space="preserve">🎯 How we engage</w:t>
      </w:r>
    </w:p>
    <w:p>
      <w:pPr>
        <w:pStyle w:val="Heading2"/>
        <w:spacing w:after="140" w:before="280"/>
      </w:pPr>
      <w:r>
        <w:rPr>
          <w:rFonts w:ascii="Arial" w:cs="Arial" w:eastAsia="Arial" w:hAnsi="Arial"/>
          <w:b/>
          <w:bCs/>
          <w:color w:val="185FA5"/>
          <w:sz w:val="26"/>
          <w:szCs w:val="26"/>
        </w:rPr>
        <w:t xml:space="preserve">Engagement urgency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4"/>
              <w:left w:val="single" w:color="CCCCCC" w:sz="4"/>
              <w:bottom w:val="single" w:color="CCCCCC" w:sz="4"/>
              <w:right w:val="single" w:color="CCCCCC" w:sz="4"/>
            </w:tcBorders>
            <w:shd w:fill="1A2B3C"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URGENCY SCORE</w:t>
            </w:r>
          </w:p>
        </w:tc>
        <w:tc>
          <w:tcPr>
            <w:tcW w:type="dxa" w:w="3120"/>
            <w:tcBorders>
              <w:top w:val="single" w:color="CCCCCC" w:sz="4"/>
              <w:left w:val="single" w:color="CCCCCC" w:sz="4"/>
              <w:bottom w:val="single" w:color="CCCCCC" w:sz="4"/>
              <w:right w:val="single" w:color="CCCCCC" w:sz="4"/>
            </w:tcBorders>
            <w:shd w:fill="1A2B3C"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TIME-TO-ENGAGE</w:t>
            </w:r>
          </w:p>
        </w:tc>
        <w:tc>
          <w:tcPr>
            <w:tcW w:type="dxa" w:w="3120"/>
            <w:tcBorders>
              <w:top w:val="single" w:color="CCCCCC" w:sz="4"/>
              <w:left w:val="single" w:color="CCCCCC" w:sz="4"/>
              <w:bottom w:val="single" w:color="CCCCCC" w:sz="4"/>
              <w:right w:val="single" w:color="CCCCCC" w:sz="4"/>
            </w:tcBorders>
            <w:shd w:fill="1A2B3C"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STRATEGIC RANK</w:t>
            </w:r>
          </w:p>
        </w:tc>
      </w:tr>
      <w:tr>
        <w:tc>
          <w:tcPr>
            <w:tcW w:type="dxa" w:w="3120"/>
            <w:tcBorders>
              <w:top w:val="single" w:color="CCCCCC" w:sz="4"/>
              <w:left w:val="single" w:color="CCCCCC" w:sz="4"/>
              <w:bottom w:val="single" w:color="CCCCCC" w:sz="4"/>
              <w:right w:val="single" w:color="CCCCCC" w:sz="4"/>
            </w:tcBorders>
            <w:shd w:fill="FFF8E1" w:val="clear"/>
            <w:tcMar>
              <w:top w:type="dxa" w:w="80"/>
              <w:left w:type="dxa" w:w="120"/>
              <w:bottom w:type="dxa" w:w="80"/>
              <w:right w:type="dxa" w:w="120"/>
            </w:tcMar>
          </w:tcPr>
          <w:p>
            <w:pPr>
              <w:jc w:val="center"/>
            </w:pPr>
            <w:r>
              <w:rPr>
                <w:rFonts w:ascii="Arial" w:cs="Arial" w:eastAsia="Arial" w:hAnsi="Arial"/>
                <w:b/>
                <w:bCs/>
                <w:i w:val="false"/>
                <w:iCs w:val="false"/>
                <w:color w:val="6B5500"/>
                <w:sz w:val="32"/>
                <w:szCs w:val="32"/>
              </w:rPr>
              <w:t xml:space="preserve">4 / 15</w:t>
            </w:r>
          </w:p>
        </w:tc>
        <w:tc>
          <w:tcPr>
            <w:tcW w:type="dxa" w:w="3120"/>
            <w:tcBorders>
              <w:top w:val="single" w:color="CCCCCC" w:sz="4"/>
              <w:left w:val="single" w:color="CCCCCC" w:sz="4"/>
              <w:bottom w:val="single" w:color="CCCCCC" w:sz="4"/>
              <w:right w:val="single" w:color="CCCCCC" w:sz="4"/>
            </w:tcBorders>
            <w:shd w:fill="FFF8E1" w:val="clear"/>
            <w:tcMar>
              <w:top w:type="dxa" w:w="80"/>
              <w:left w:type="dxa" w:w="120"/>
              <w:bottom w:type="dxa" w:w="80"/>
              <w:right w:type="dxa" w:w="120"/>
            </w:tcMar>
          </w:tcPr>
          <w:p>
            <w:pPr>
              <w:jc w:val="center"/>
            </w:pPr>
            <w:r>
              <w:rPr>
                <w:rFonts w:ascii="Arial" w:cs="Arial" w:eastAsia="Arial" w:hAnsi="Arial"/>
                <w:b/>
                <w:bCs/>
                <w:i w:val="false"/>
                <w:iCs w:val="false"/>
                <w:color w:val="6B5500"/>
                <w:sz w:val="22"/>
                <w:szCs w:val="22"/>
              </w:rPr>
              <w:t xml:space="preserve">MID-TERM (Wks 10-13+)</w:t>
            </w:r>
          </w:p>
        </w:tc>
        <w:tc>
          <w:tcPr>
            <w:tcW w:type="dxa" w:w="31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Arial" w:cs="Arial" w:eastAsia="Arial" w:hAnsi="Arial"/>
                <w:b/>
                <w:bCs/>
                <w:i w:val="false"/>
                <w:iCs w:val="false"/>
                <w:color w:val="1A2B3C"/>
                <w:sz w:val="22"/>
                <w:szCs w:val="22"/>
              </w:rPr>
              <w:t xml:space="preserve">#6 of 7  (GREENFIELD-OPEN)</w:t>
            </w:r>
          </w:p>
        </w:tc>
      </w:tr>
    </w:tbl>
    <w:p>
      <w:pPr>
        <w:spacing w:after="80" w:before="80"/>
      </w:pPr>
      <w:r>
        <w:rPr>
          <w:rFonts w:ascii="Arial" w:cs="Arial" w:eastAsia="Arial" w:hAnsi="Arial"/>
          <w:sz w:val="22"/>
          <w:szCs w:val="22"/>
        </w:rPr>
        <w:t xml:space="preserve"/>
      </w:r>
    </w:p>
    <w:p>
      <w:pPr>
        <w:spacing w:after="100" w:before="200"/>
      </w:pPr>
      <w:r>
        <w:rPr>
          <w:rFonts w:ascii="Arial" w:cs="Arial" w:eastAsia="Arial" w:hAnsi="Arial"/>
          <w:b/>
          <w:bCs/>
          <w:color w:val="1A2B3C"/>
          <w:sz w:val="22"/>
          <w:szCs w:val="22"/>
        </w:rPr>
        <w:t xml:space="preserve">Why this urgency score — 5-signal breakdown</w:t>
      </w:r>
    </w:p>
    <w:tbl>
      <w:tblPr>
        <w:tblW w:type="dxa" w:w="1290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900"/>
        <w:gridCol w:w="9000"/>
      </w:tblGrid>
      <w:tr>
        <w:trPr>
          <w:tblHeader/>
        </w:trPr>
        <w:tc>
          <w:tcPr>
            <w:tcW w:type="dxa" w:w="600"/>
            <w:tcBorders>
              <w:top w:val="single" w:color="CCCCCC" w:sz="4"/>
              <w:left w:val="single" w:color="CCCCCC" w:sz="4"/>
              <w:bottom w:val="single" w:color="CCCCCC" w:sz="4"/>
              <w:right w:val="single" w:color="CCCCCC" w:sz="4"/>
            </w:tcBorders>
            <w:shd w:fill="1A2B3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
            </w:r>
          </w:p>
        </w:tc>
        <w:tc>
          <w:tcPr>
            <w:tcW w:type="dxa" w:w="2400"/>
            <w:tcBorders>
              <w:top w:val="single" w:color="CCCCCC" w:sz="4"/>
              <w:left w:val="single" w:color="CCCCCC" w:sz="4"/>
              <w:bottom w:val="single" w:color="CCCCCC" w:sz="4"/>
              <w:right w:val="single" w:color="CCCCCC" w:sz="4"/>
            </w:tcBorders>
            <w:shd w:fill="1A2B3C" w:val="clear"/>
            <w:tcMar>
              <w:top w:type="dxa" w:w="80"/>
              <w:left w:type="dxa" w:w="120"/>
              <w:bottom w:type="dxa" w:w="80"/>
              <w:right w:type="dxa" w:w="120"/>
            </w:tcMar>
          </w:tcPr>
          <w:p>
            <w:pPr>
              <w:jc w:val="left"/>
            </w:pPr>
            <w:r>
              <w:rPr>
                <w:rFonts w:ascii="Arial" w:cs="Arial" w:eastAsia="Arial" w:hAnsi="Arial"/>
                <w:b/>
                <w:bCs/>
                <w:i w:val="false"/>
                <w:iCs w:val="false"/>
                <w:color w:val="FFFFFF"/>
                <w:sz w:val="17"/>
                <w:szCs w:val="17"/>
              </w:rPr>
              <w:t xml:space="preserve">Signal</w:t>
            </w:r>
          </w:p>
        </w:tc>
        <w:tc>
          <w:tcPr>
            <w:tcW w:type="dxa" w:w="900"/>
            <w:tcBorders>
              <w:top w:val="single" w:color="CCCCCC" w:sz="4"/>
              <w:left w:val="single" w:color="CCCCCC" w:sz="4"/>
              <w:bottom w:val="single" w:color="CCCCCC" w:sz="4"/>
              <w:right w:val="single" w:color="CCCCCC" w:sz="4"/>
            </w:tcBorders>
            <w:shd w:fill="1A2B3C" w:val="clear"/>
            <w:tcMar>
              <w:top w:type="dxa" w:w="80"/>
              <w:left w:type="dxa" w:w="120"/>
              <w:bottom w:type="dxa" w:w="80"/>
              <w:right w:type="dxa" w:w="120"/>
            </w:tcMar>
          </w:tcPr>
          <w:p>
            <w:pPr>
              <w:jc w:val="center"/>
            </w:pPr>
            <w:r>
              <w:rPr>
                <w:rFonts w:ascii="Arial" w:cs="Arial" w:eastAsia="Arial" w:hAnsi="Arial"/>
                <w:b/>
                <w:bCs/>
                <w:i w:val="false"/>
                <w:iCs w:val="false"/>
                <w:color w:val="FFFFFF"/>
                <w:sz w:val="17"/>
                <w:szCs w:val="17"/>
              </w:rPr>
              <w:t xml:space="preserve">Score</w:t>
            </w:r>
          </w:p>
        </w:tc>
        <w:tc>
          <w:tcPr>
            <w:tcW w:type="dxa" w:w="9000"/>
            <w:tcBorders>
              <w:top w:val="single" w:color="CCCCCC" w:sz="4"/>
              <w:left w:val="single" w:color="CCCCCC" w:sz="4"/>
              <w:bottom w:val="single" w:color="CCCCCC" w:sz="4"/>
              <w:right w:val="single" w:color="CCCCCC" w:sz="4"/>
            </w:tcBorders>
            <w:shd w:fill="1A2B3C" w:val="clear"/>
            <w:tcMar>
              <w:top w:type="dxa" w:w="80"/>
              <w:left w:type="dxa" w:w="120"/>
              <w:bottom w:type="dxa" w:w="80"/>
              <w:right w:type="dxa" w:w="120"/>
            </w:tcMar>
          </w:tcPr>
          <w:p>
            <w:pPr>
              <w:jc w:val="left"/>
            </w:pPr>
            <w:r>
              <w:rPr>
                <w:rFonts w:ascii="Arial" w:cs="Arial" w:eastAsia="Arial" w:hAnsi="Arial"/>
                <w:b/>
                <w:bCs/>
                <w:i w:val="false"/>
                <w:iCs w:val="false"/>
                <w:color w:val="FFFFFF"/>
                <w:sz w:val="17"/>
                <w:szCs w:val="17"/>
              </w:rPr>
              <w:t xml:space="preserve">Why this score</w:t>
            </w:r>
          </w:p>
        </w:tc>
      </w:tr>
      <w:tr>
        <w:tc>
          <w:tcPr>
            <w:tcW w:type="dxa" w:w="600"/>
            <w:tcBorders>
              <w:top w:val="single" w:color="CCCCCC" w:sz="4"/>
              <w:left w:val="single" w:color="CCCCCC" w:sz="4"/>
              <w:bottom w:val="single" w:color="CCCCCC" w:sz="4"/>
              <w:right w:val="single" w:color="CCCCCC" w:sz="4"/>
            </w:tcBorders>
            <w:shd w:fill="FFF8E1" w:val="clear"/>
            <w:tcMar>
              <w:top w:type="dxa" w:w="80"/>
              <w:left w:type="dxa" w:w="120"/>
              <w:bottom w:type="dxa" w:w="80"/>
              <w:right w:type="dxa" w:w="120"/>
            </w:tcMar>
          </w:tcPr>
          <w:p>
            <w:pPr>
              <w:jc w:val="center"/>
            </w:pPr>
            <w:r>
              <w:rPr>
                <w:rFonts w:ascii="Arial" w:cs="Arial" w:eastAsia="Arial" w:hAnsi="Arial"/>
                <w:b w:val="false"/>
                <w:bCs w:val="false"/>
                <w:i w:val="false"/>
                <w:iCs w:val="false"/>
                <w:sz w:val="22"/>
                <w:szCs w:val="22"/>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i w:val="false"/>
                <w:iCs w:val="false"/>
                <w:sz w:val="18"/>
                <w:szCs w:val="18"/>
              </w:rPr>
              <w:t xml:space="preserve">Leadership transition</w:t>
            </w:r>
          </w:p>
        </w:tc>
        <w:tc>
          <w:tcPr>
            <w:tcW w:type="dxa" w:w="900"/>
            <w:tcBorders>
              <w:top w:val="single" w:color="CCCCCC" w:sz="4"/>
              <w:left w:val="single" w:color="CCCCCC" w:sz="4"/>
              <w:bottom w:val="single" w:color="CCCCCC" w:sz="4"/>
              <w:right w:val="single" w:color="CCCCCC" w:sz="4"/>
            </w:tcBorders>
            <w:shd w:fill="FFF8E1" w:val="clear"/>
            <w:tcMar>
              <w:top w:type="dxa" w:w="80"/>
              <w:left w:type="dxa" w:w="120"/>
              <w:bottom w:type="dxa" w:w="80"/>
              <w:right w:type="dxa" w:w="120"/>
            </w:tcMar>
          </w:tcPr>
          <w:p>
            <w:pPr>
              <w:jc w:val="center"/>
            </w:pPr>
            <w:r>
              <w:rPr>
                <w:rFonts w:ascii="Arial" w:cs="Arial" w:eastAsia="Arial" w:hAnsi="Arial"/>
                <w:b/>
                <w:bCs/>
                <w:i w:val="false"/>
                <w:iCs w:val="false"/>
                <w:color w:val="6B5500"/>
                <w:sz w:val="20"/>
                <w:szCs w:val="20"/>
              </w:rPr>
              <w:t xml:space="preserve">1/3</w:t>
            </w:r>
          </w:p>
        </w:tc>
        <w:tc>
          <w:tcPr>
            <w:tcW w:type="dxa" w:w="9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7"/>
                <w:szCs w:val="17"/>
              </w:rPr>
              <w:t xml:space="preserve">PSB leadership stable. Flick CEO long-tenured. Conrad known contact at PSB but not new role.</w:t>
            </w:r>
          </w:p>
        </w:tc>
      </w:tr>
      <w:tr>
        <w:tc>
          <w:tcPr>
            <w:tcW w:type="dxa" w:w="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Arial" w:cs="Arial" w:eastAsia="Arial" w:hAnsi="Arial"/>
                <w:b w:val="false"/>
                <w:bCs w:val="false"/>
                <w:i w:val="false"/>
                <w:iCs w:val="false"/>
                <w:sz w:val="22"/>
                <w:szCs w:val="22"/>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i w:val="false"/>
                <w:iCs w:val="false"/>
                <w:sz w:val="18"/>
                <w:szCs w:val="18"/>
              </w:rPr>
              <w:t xml:space="preserve">In-window event presence</w:t>
            </w:r>
          </w:p>
        </w:tc>
        <w:tc>
          <w:tcPr>
            <w:tcW w:type="dxa" w:w="9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Arial" w:cs="Arial" w:eastAsia="Arial" w:hAnsi="Arial"/>
                <w:b/>
                <w:bCs/>
                <w:i w:val="false"/>
                <w:iCs w:val="false"/>
                <w:color w:val="595959"/>
                <w:sz w:val="20"/>
                <w:szCs w:val="20"/>
              </w:rPr>
              <w:t xml:space="preserve">0/3</w:t>
            </w:r>
          </w:p>
        </w:tc>
        <w:tc>
          <w:tcPr>
            <w:tcW w:type="dxa" w:w="9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7"/>
                <w:szCs w:val="17"/>
              </w:rPr>
              <w:t xml:space="preserve">No PSB target confirmed at FCXC or other in-window event.</w:t>
            </w:r>
          </w:p>
        </w:tc>
      </w:tr>
      <w:tr>
        <w:tc>
          <w:tcPr>
            <w:tcW w:type="dxa" w:w="600"/>
            <w:tcBorders>
              <w:top w:val="single" w:color="CCCCCC" w:sz="4"/>
              <w:left w:val="single" w:color="CCCCCC" w:sz="4"/>
              <w:bottom w:val="single" w:color="CCCCCC" w:sz="4"/>
              <w:right w:val="single" w:color="CCCCCC" w:sz="4"/>
            </w:tcBorders>
            <w:shd w:fill="FFF8E1" w:val="clear"/>
            <w:tcMar>
              <w:top w:type="dxa" w:w="80"/>
              <w:left w:type="dxa" w:w="120"/>
              <w:bottom w:type="dxa" w:w="80"/>
              <w:right w:type="dxa" w:w="120"/>
            </w:tcMar>
          </w:tcPr>
          <w:p>
            <w:pPr>
              <w:jc w:val="center"/>
            </w:pPr>
            <w:r>
              <w:rPr>
                <w:rFonts w:ascii="Arial" w:cs="Arial" w:eastAsia="Arial" w:hAnsi="Arial"/>
                <w:b w:val="false"/>
                <w:bCs w:val="false"/>
                <w:i w:val="false"/>
                <w:iCs w:val="false"/>
                <w:sz w:val="22"/>
                <w:szCs w:val="22"/>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i w:val="false"/>
                <w:iCs w:val="false"/>
                <w:sz w:val="18"/>
                <w:szCs w:val="18"/>
              </w:rPr>
              <w:t xml:space="preserve">Active buying-mode signals</w:t>
            </w:r>
          </w:p>
        </w:tc>
        <w:tc>
          <w:tcPr>
            <w:tcW w:type="dxa" w:w="900"/>
            <w:tcBorders>
              <w:top w:val="single" w:color="CCCCCC" w:sz="4"/>
              <w:left w:val="single" w:color="CCCCCC" w:sz="4"/>
              <w:bottom w:val="single" w:color="CCCCCC" w:sz="4"/>
              <w:right w:val="single" w:color="CCCCCC" w:sz="4"/>
            </w:tcBorders>
            <w:shd w:fill="FFF8E1" w:val="clear"/>
            <w:tcMar>
              <w:top w:type="dxa" w:w="80"/>
              <w:left w:type="dxa" w:w="120"/>
              <w:bottom w:type="dxa" w:w="80"/>
              <w:right w:type="dxa" w:w="120"/>
            </w:tcMar>
          </w:tcPr>
          <w:p>
            <w:pPr>
              <w:jc w:val="center"/>
            </w:pPr>
            <w:r>
              <w:rPr>
                <w:rFonts w:ascii="Arial" w:cs="Arial" w:eastAsia="Arial" w:hAnsi="Arial"/>
                <w:b/>
                <w:bCs/>
                <w:i w:val="false"/>
                <w:iCs w:val="false"/>
                <w:color w:val="6B5500"/>
                <w:sz w:val="20"/>
                <w:szCs w:val="20"/>
              </w:rPr>
              <w:t xml:space="preserve">1/3</w:t>
            </w:r>
          </w:p>
        </w:tc>
        <w:tc>
          <w:tcPr>
            <w:tcW w:type="dxa" w:w="9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7"/>
                <w:szCs w:val="17"/>
              </w:rPr>
              <w:t xml:space="preserve">PSB 2025 FDD says they are 'pilot-testing a tech solution' — weak buying-mode signal but uncoordinated and franchisor-distress-limited.</w:t>
            </w:r>
          </w:p>
        </w:tc>
      </w:tr>
      <w:tr>
        <w:tc>
          <w:tcPr>
            <w:tcW w:type="dxa" w:w="600"/>
            <w:tcBorders>
              <w:top w:val="single" w:color="CCCCCC" w:sz="4"/>
              <w:left w:val="single" w:color="CCCCCC" w:sz="4"/>
              <w:bottom w:val="single" w:color="CCCCCC" w:sz="4"/>
              <w:right w:val="single" w:color="CCCCCC" w:sz="4"/>
            </w:tcBorders>
            <w:shd w:fill="FFF8E1" w:val="clear"/>
            <w:tcMar>
              <w:top w:type="dxa" w:w="80"/>
              <w:left w:type="dxa" w:w="120"/>
              <w:bottom w:type="dxa" w:w="80"/>
              <w:right w:type="dxa" w:w="120"/>
            </w:tcMar>
          </w:tcPr>
          <w:p>
            <w:pPr>
              <w:jc w:val="center"/>
            </w:pPr>
            <w:r>
              <w:rPr>
                <w:rFonts w:ascii="Arial" w:cs="Arial" w:eastAsia="Arial" w:hAnsi="Arial"/>
                <w:b w:val="false"/>
                <w:bCs w:val="false"/>
                <w:i w:val="false"/>
                <w:iCs w:val="false"/>
                <w:sz w:val="22"/>
                <w:szCs w:val="22"/>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i w:val="false"/>
                <w:iCs w:val="false"/>
                <w:sz w:val="18"/>
                <w:szCs w:val="18"/>
              </w:rPr>
              <w:t xml:space="preserve">Existing access vector</w:t>
            </w:r>
          </w:p>
        </w:tc>
        <w:tc>
          <w:tcPr>
            <w:tcW w:type="dxa" w:w="900"/>
            <w:tcBorders>
              <w:top w:val="single" w:color="CCCCCC" w:sz="4"/>
              <w:left w:val="single" w:color="CCCCCC" w:sz="4"/>
              <w:bottom w:val="single" w:color="CCCCCC" w:sz="4"/>
              <w:right w:val="single" w:color="CCCCCC" w:sz="4"/>
            </w:tcBorders>
            <w:shd w:fill="FFF8E1" w:val="clear"/>
            <w:tcMar>
              <w:top w:type="dxa" w:w="80"/>
              <w:left w:type="dxa" w:w="120"/>
              <w:bottom w:type="dxa" w:w="80"/>
              <w:right w:type="dxa" w:w="120"/>
            </w:tcMar>
          </w:tcPr>
          <w:p>
            <w:pPr>
              <w:jc w:val="center"/>
            </w:pPr>
            <w:r>
              <w:rPr>
                <w:rFonts w:ascii="Arial" w:cs="Arial" w:eastAsia="Arial" w:hAnsi="Arial"/>
                <w:b/>
                <w:bCs/>
                <w:i w:val="false"/>
                <w:iCs w:val="false"/>
                <w:color w:val="6B5500"/>
                <w:sz w:val="20"/>
                <w:szCs w:val="20"/>
              </w:rPr>
              <w:t xml:space="preserve">1/3</w:t>
            </w:r>
          </w:p>
        </w:tc>
        <w:tc>
          <w:tcPr>
            <w:tcW w:type="dxa" w:w="9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7"/>
                <w:szCs w:val="17"/>
              </w:rPr>
              <w:t xml:space="preserve">No documented warm path to PSB or Susquehanna Private Capital. GPSI team mapping needed but lower confidence than KKR/Apax.</w:t>
            </w:r>
          </w:p>
        </w:tc>
      </w:tr>
      <w:tr>
        <w:tc>
          <w:tcPr>
            <w:tcW w:type="dxa" w:w="600"/>
            <w:tcBorders>
              <w:top w:val="single" w:color="CCCCCC" w:sz="4"/>
              <w:left w:val="single" w:color="CCCCCC" w:sz="4"/>
              <w:bottom w:val="single" w:color="CCCCCC" w:sz="4"/>
              <w:right w:val="single" w:color="CCCCCC" w:sz="4"/>
            </w:tcBorders>
            <w:shd w:fill="FFF8E1" w:val="clear"/>
            <w:tcMar>
              <w:top w:type="dxa" w:w="80"/>
              <w:left w:type="dxa" w:w="120"/>
              <w:bottom w:type="dxa" w:w="80"/>
              <w:right w:type="dxa" w:w="120"/>
            </w:tcMar>
          </w:tcPr>
          <w:p>
            <w:pPr>
              <w:jc w:val="center"/>
            </w:pPr>
            <w:r>
              <w:rPr>
                <w:rFonts w:ascii="Arial" w:cs="Arial" w:eastAsia="Arial" w:hAnsi="Arial"/>
                <w:b w:val="false"/>
                <w:bCs w:val="false"/>
                <w:i w:val="false"/>
                <w:iCs w:val="false"/>
                <w:sz w:val="22"/>
                <w:szCs w:val="22"/>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i w:val="false"/>
                <w:iCs w:val="false"/>
                <w:sz w:val="18"/>
                <w:szCs w:val="18"/>
              </w:rPr>
              <w:t xml:space="preserve">Active vendor evaluation</w:t>
            </w:r>
          </w:p>
        </w:tc>
        <w:tc>
          <w:tcPr>
            <w:tcW w:type="dxa" w:w="900"/>
            <w:tcBorders>
              <w:top w:val="single" w:color="CCCCCC" w:sz="4"/>
              <w:left w:val="single" w:color="CCCCCC" w:sz="4"/>
              <w:bottom w:val="single" w:color="CCCCCC" w:sz="4"/>
              <w:right w:val="single" w:color="CCCCCC" w:sz="4"/>
            </w:tcBorders>
            <w:shd w:fill="FFF8E1" w:val="clear"/>
            <w:tcMar>
              <w:top w:type="dxa" w:w="80"/>
              <w:left w:type="dxa" w:w="120"/>
              <w:bottom w:type="dxa" w:w="80"/>
              <w:right w:type="dxa" w:w="120"/>
            </w:tcMar>
          </w:tcPr>
          <w:p>
            <w:pPr>
              <w:jc w:val="center"/>
            </w:pPr>
            <w:r>
              <w:rPr>
                <w:rFonts w:ascii="Arial" w:cs="Arial" w:eastAsia="Arial" w:hAnsi="Arial"/>
                <w:b/>
                <w:bCs/>
                <w:i w:val="false"/>
                <w:iCs w:val="false"/>
                <w:color w:val="6B5500"/>
                <w:sz w:val="20"/>
                <w:szCs w:val="20"/>
              </w:rPr>
              <w:t xml:space="preserve">1/3</w:t>
            </w:r>
          </w:p>
        </w:tc>
        <w:tc>
          <w:tcPr>
            <w:tcW w:type="dxa" w:w="9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7"/>
                <w:szCs w:val="17"/>
              </w:rPr>
              <w:t xml:space="preserve">Pilot-testing language present, but franchisor's $5.8M deficit + 15% RooterMan churn means franchisor-level commitments unlikely. Bottom-up RooterMan path is the actual urgency, not top-down PSB.</w:t>
            </w:r>
          </w:p>
        </w:tc>
      </w:tr>
    </w:tbl>
    <w:p>
      <w:pPr>
        <w:spacing w:after="80" w:before="80"/>
      </w:pPr>
      <w:r>
        <w:rPr>
          <w:rFonts w:ascii="Arial" w:cs="Arial" w:eastAsia="Arial" w:hAnsi="Arial"/>
          <w:sz w:val="22"/>
          <w:szCs w:val="22"/>
        </w:rPr>
        <w:t xml:space="preserve"/>
      </w:r>
    </w:p>
    <w:p>
      <w:pPr>
        <w:spacing w:after="100" w:before="200"/>
      </w:pPr>
      <w:r>
        <w:rPr>
          <w:rFonts w:ascii="Arial" w:cs="Arial" w:eastAsia="Arial" w:hAnsi="Arial"/>
          <w:b/>
          <w:bCs/>
          <w:color w:val="1A2B3C"/>
          <w:sz w:val="22"/>
          <w:szCs w:val="22"/>
        </w:rPr>
        <w:t xml:space="preserve">What this means — first engagement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FF8E1" w:val="clear"/>
            <w:tcMar>
              <w:top w:type="dxa" w:w="200"/>
              <w:left w:type="dxa" w:w="240"/>
              <w:bottom w:type="dxa" w:w="200"/>
              <w:right w:type="dxa" w:w="240"/>
            </w:tcMar>
          </w:tcPr>
          <w:p>
            <w:pPr>
              <w:spacing w:after="120"/>
            </w:pPr>
            <w:r>
              <w:rPr>
                <w:rFonts w:ascii="Arial" w:cs="Arial" w:eastAsia="Arial" w:hAnsi="Arial"/>
                <w:b/>
                <w:bCs/>
                <w:color w:val="1A2B3C"/>
                <w:sz w:val="24"/>
                <w:szCs w:val="24"/>
              </w:rPr>
              <w:t xml:space="preserve">Where to start with PSB this week</w:t>
            </w:r>
          </w:p>
          <w:p>
            <w:r>
              <w:rPr>
                <w:rFonts w:ascii="Arial" w:cs="Arial" w:eastAsia="Arial" w:hAnsi="Arial"/>
                <w:sz w:val="22"/>
                <w:szCs w:val="22"/>
              </w:rPr>
              <w:t xml:space="preserve">PSB is mid-term at the franchisor level — the franchisor is in financial distress so top-down engagement won't convert in Phase 1. The real urgency lives in Track 2 P1 (RooterMan operators). Treat PSB as Phase 2 franchisor work.</w:t>
            </w:r>
          </w:p>
        </w:tc>
      </w:tr>
    </w:tbl>
    <w:p>
      <w:pPr>
        <w:spacing w:after="80" w:before="80"/>
      </w:pPr>
      <w:r>
        <w:rPr>
          <w:rFonts w:ascii="Arial" w:cs="Arial" w:eastAsia="Arial" w:hAnsi="Arial"/>
          <w:b w:val="false"/>
          <w:bCs w:val="false"/>
          <w:sz w:val="22"/>
          <w:szCs w:val="22"/>
        </w:rPr>
        <w:t xml:space="preserve">1. Wk 1-2: GPSI team → Susquehanna mapping in same warm path session. Even confirmed-no-path is useful intel.</w:t>
      </w:r>
    </w:p>
    <w:p>
      <w:pPr>
        <w:spacing w:after="80" w:before="80"/>
      </w:pPr>
      <w:r>
        <w:rPr>
          <w:rFonts w:ascii="Arial" w:cs="Arial" w:eastAsia="Arial" w:hAnsi="Arial"/>
          <w:b w:val="false"/>
          <w:bCs w:val="false"/>
          <w:sz w:val="22"/>
          <w:szCs w:val="22"/>
        </w:rPr>
        <w:t xml:space="preserve">2. Wk 2-4: Marketing teammates discovery — who is the PSB 'pilot tech' referenced in the FDD? 30-min discovery call to scope. May reveal incumbent we're displacing.</w:t>
      </w:r>
    </w:p>
    <w:p>
      <w:pPr>
        <w:spacing w:after="80" w:before="80"/>
      </w:pPr>
      <w:r>
        <w:rPr>
          <w:rFonts w:ascii="Arial" w:cs="Arial" w:eastAsia="Arial" w:hAnsi="Arial"/>
          <w:b w:val="false"/>
          <w:bCs w:val="false"/>
          <w:sz w:val="22"/>
          <w:szCs w:val="22"/>
        </w:rPr>
        <w:t xml:space="preserve">3. Wk 3-6: RooterMan Track 2 P1 work runs in parallel — operators are where Phase 1 PSB-related engagement actually happens.</w:t>
      </w:r>
    </w:p>
    <w:p>
      <w:pPr>
        <w:spacing w:after="80" w:before="80"/>
      </w:pPr>
      <w:r>
        <w:rPr>
          <w:rFonts w:ascii="Arial" w:cs="Arial" w:eastAsia="Arial" w:hAnsi="Arial"/>
          <w:b w:val="false"/>
          <w:bCs w:val="false"/>
          <w:sz w:val="22"/>
          <w:szCs w:val="22"/>
        </w:rPr>
        <w:t xml:space="preserve">4. Phase 2: If RooterMan operator engagement produces case-study material, use that to engage PSB corporate in Phase 2 with proof points in hand.</w:t>
      </w:r>
    </w:p>
    <w:p>
      <w:pPr>
        <w:pBdr>
          <w:bottom w:val="single" w:color="185FA5" w:sz="6" w:space="1"/>
        </w:pBdr>
        <w:spacing w:after="120" w:before="120"/>
      </w:pPr>
    </w:p>
    <w:p>
      <w:pPr>
        <w:pStyle w:val="Heading2"/>
        <w:spacing w:after="140" w:before="280"/>
      </w:pPr>
      <w:r>
        <w:rPr>
          <w:rFonts w:ascii="Arial" w:cs="Arial" w:eastAsia="Arial" w:hAnsi="Arial"/>
          <w:b/>
          <w:bCs/>
          <w:color w:val="185FA5"/>
          <w:sz w:val="26"/>
          <w:szCs w:val="26"/>
        </w:rPr>
        <w:t xml:space="preserve">Where this one sits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FF8E1" w:val="clear"/>
            <w:tcMar>
              <w:top w:type="dxa" w:w="200"/>
              <w:left w:type="dxa" w:w="240"/>
              <w:bottom w:type="dxa" w:w="200"/>
              <w:right w:type="dxa" w:w="240"/>
            </w:tcMar>
          </w:tcPr>
          <w:p>
            <w:pPr>
              <w:spacing w:after="120"/>
            </w:pPr>
            <w:r>
              <w:rPr>
                <w:rFonts w:ascii="Arial" w:cs="Arial" w:eastAsia="Arial" w:hAnsi="Arial"/>
                <w:b/>
                <w:bCs/>
                <w:color w:val="1A2B3C"/>
                <w:sz w:val="24"/>
                <w:szCs w:val="24"/>
              </w:rPr>
              <w:t xml:space="preserve">PSB is ranked 6 of 7 P1 targets — character: GREENFIELD-OPEN</w:t>
            </w:r>
          </w:p>
          <w:p>
            <w:r>
              <w:rPr>
                <w:rFonts w:ascii="Arial" w:cs="Arial" w:eastAsia="Arial" w:hAnsi="Arial"/>
                <w:sz w:val="22"/>
                <w:szCs w:val="22"/>
              </w:rPr>
              <w:t xml:space="preserve">GREENFIELD-OPEN character. No portfolio FSM to displace makes this technically greenfield — but the financial distress and scattered decision authority make it more complicated than Empower's clean 2-person architecture. Score 59.0 (V2 weighted across 7 dimensions — see 'How we scored this' below). PSB sits at #6 because smaller network and lower urgency place it behind larger opportunities.</w:t>
            </w:r>
          </w:p>
        </w:tc>
      </w:tr>
    </w:tbl>
    <w:p>
      <w:pPr>
        <w:pStyle w:val="Heading2"/>
        <w:spacing w:after="140" w:before="280"/>
      </w:pPr>
      <w:r>
        <w:rPr>
          <w:rFonts w:ascii="Arial" w:cs="Arial" w:eastAsia="Arial" w:hAnsi="Arial"/>
          <w:b/>
          <w:bCs/>
          <w:color w:val="185FA5"/>
          <w:sz w:val="26"/>
          <w:szCs w:val="26"/>
        </w:rPr>
        <w:t xml:space="preserve">Where I think we wedge in</w:t>
      </w:r>
    </w:p>
    <w:p>
      <w:pPr>
        <w:spacing w:after="80" w:before="80"/>
      </w:pPr>
      <w:r>
        <w:rPr>
          <w:rFonts w:ascii="Arial" w:cs="Arial" w:eastAsia="Arial" w:hAnsi="Arial"/>
          <w:sz w:val="22"/>
          <w:szCs w:val="22"/>
        </w:rPr>
        <w:t xml:space="preserve">RooterMan is the wedge — 70% of PSB's network, 720-750 locations, plumbing is the classic ServiceBridge use case (emergency dispatch, route optimization, truck inventory, customer comms). 15% churn = franchisees in pain = FSM directly relevant.</w:t>
      </w:r>
    </w:p>
    <w:p>
      <w:pPr>
        <w:pStyle w:val="ListParagraph"/>
        <w:numPr>
          <w:ilvl w:val="0"/>
          <w:numId w:val="2"/>
        </w:numPr>
        <w:spacing w:after="40" w:before="40"/>
      </w:pPr>
      <w:r>
        <w:rPr>
          <w:rFonts w:ascii="Arial" w:cs="Arial" w:eastAsia="Arial" w:hAnsi="Arial"/>
          <w:sz w:val="22"/>
          <w:szCs w:val="22"/>
        </w:rPr>
        <w:t xml:space="preserve">RooterMan franchisee-level pitch: $24.95/user/mo ServiceBridge is accessible for price-sensitive operators given network financial distress.</w:t>
      </w:r>
    </w:p>
    <w:p>
      <w:pPr>
        <w:pStyle w:val="ListParagraph"/>
        <w:numPr>
          <w:ilvl w:val="0"/>
          <w:numId w:val="2"/>
        </w:numPr>
        <w:spacing w:after="40" w:before="40"/>
      </w:pPr>
      <w:r>
        <w:rPr>
          <w:rFonts w:ascii="Arial" w:cs="Arial" w:eastAsia="Arial" w:hAnsi="Arial"/>
          <w:sz w:val="22"/>
          <w:szCs w:val="22"/>
        </w:rPr>
        <w:t xml:space="preserve">360 Painting + ProLift + Window Gang are natural second tier — service-vehicle models.</w:t>
      </w:r>
    </w:p>
    <w:p>
      <w:pPr>
        <w:pStyle w:val="ListParagraph"/>
        <w:numPr>
          <w:ilvl w:val="0"/>
          <w:numId w:val="2"/>
        </w:numPr>
        <w:spacing w:after="40" w:before="40"/>
      </w:pPr>
      <w:r>
        <w:rPr>
          <w:rFonts w:ascii="Arial" w:cs="Arial" w:eastAsia="Arial" w:hAnsi="Arial"/>
          <w:sz w:val="22"/>
          <w:szCs w:val="22"/>
        </w:rPr>
        <w:t xml:space="preserve">Maid Right is small (29-44 units) — deprioritize unless rolled in with RooterMan momentum.</w:t>
      </w:r>
    </w:p>
    <w:p>
      <w:pPr>
        <w:pStyle w:val="ListParagraph"/>
        <w:numPr>
          <w:ilvl w:val="0"/>
          <w:numId w:val="2"/>
        </w:numPr>
        <w:spacing w:after="40" w:before="40"/>
      </w:pPr>
      <w:r>
        <w:rPr>
          <w:rFonts w:ascii="Arial" w:cs="Arial" w:eastAsia="Arial" w:hAnsi="Arial"/>
          <w:sz w:val="22"/>
          <w:szCs w:val="22"/>
        </w:rPr>
        <w:t xml:space="preserve">Financial distress = avoid pitching franchisor-level rollout costs. Pitch is franchisee-economics, not CFO EBITDA.</w:t>
      </w:r>
    </w:p>
    <w:p>
      <w:pPr>
        <w:pStyle w:val="Heading2"/>
      </w:pPr>
      <w:r>
        <w:t xml:space="preserve">Warm path &amp; contact intel — v15.36 CRM sync</w:t>
      </w:r>
    </w:p>
    <w:p>
      <w:pPr>
        <w:spacing w:before="80" w:after="80"/>
      </w:pPr>
      <w:r>
        <w:rPr>
          <w:i/>
          <w:iCs/>
          <w:color w:val="6B7280"/>
          <w:sz w:val="20"/>
          <w:szCs w:val="20"/>
        </w:rPr>
        <w:t xml:space="preserve">Top contacts plus warm-path status. 🟢 active warm angle · 🟡 status change to verify · 🟣 team assignment.</w:t>
      </w:r>
    </w:p>
    <w:tbl>
      <w:tblPr>
        <w:tblW w:w="90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700"/>
        <w:gridCol w:w="1900"/>
        <w:gridCol w:w="1900"/>
        <w:gridCol w:w="1700"/>
        <w:gridCol w:w="1800"/>
      </w:tblGrid>
      <w:tr>
        <w:trPr>
          <w:tblHeader/>
        </w:trPr>
        <w:tc>
          <w:tcPr>
            <w:tcW w:w="1700" w:type="dxa"/>
            <w:shd w:val="clear" w:color="auto" w:fill="1A2B3C"/>
          </w:tcPr>
          <w:p>
            <w:pPr>
              <w:spacing w:before="60" w:after="60"/>
            </w:pPr>
            <w:r>
              <w:rPr>
                <w:b/>
                <w:bCs/>
                <w:color w:val="FFFFFF"/>
                <w:sz w:val="18"/>
              </w:rPr>
              <w:t>Name</w:t>
            </w:r>
          </w:p>
        </w:tc>
        <w:tc>
          <w:tcPr>
            <w:tcW w:w="1900" w:type="dxa"/>
            <w:shd w:val="clear" w:color="auto" w:fill="1A2B3C"/>
          </w:tcPr>
          <w:p>
            <w:pPr>
              <w:spacing w:before="60" w:after="60"/>
            </w:pPr>
            <w:r>
              <w:rPr>
                <w:b/>
                <w:bCs/>
                <w:color w:val="FFFFFF"/>
                <w:sz w:val="18"/>
              </w:rPr>
              <w:t>Role</w:t>
            </w:r>
          </w:p>
        </w:tc>
        <w:tc>
          <w:tcPr>
            <w:tcW w:w="1900" w:type="dxa"/>
            <w:shd w:val="clear" w:color="auto" w:fill="1A2B3C"/>
          </w:tcPr>
          <w:p>
            <w:pPr>
              <w:spacing w:before="60" w:after="60"/>
            </w:pPr>
            <w:r>
              <w:rPr>
                <w:b/>
                <w:bCs/>
                <w:color w:val="FFFFFF"/>
                <w:sz w:val="18"/>
              </w:rPr>
              <w:t>LinkedIn</w:t>
            </w:r>
          </w:p>
        </w:tc>
        <w:tc>
          <w:tcPr>
            <w:tcW w:w="1700" w:type="dxa"/>
            <w:shd w:val="clear" w:color="auto" w:fill="1A2B3C"/>
          </w:tcPr>
          <w:p>
            <w:pPr>
              <w:spacing w:before="60" w:after="60"/>
            </w:pPr>
            <w:r>
              <w:rPr>
                <w:b/>
                <w:bCs/>
                <w:color w:val="FFFFFF"/>
                <w:sz w:val="18"/>
              </w:rPr>
              <w:t>School</w:t>
            </w:r>
          </w:p>
        </w:tc>
        <w:tc>
          <w:tcPr>
            <w:tcW w:w="1800" w:type="dxa"/>
            <w:shd w:val="clear" w:color="auto" w:fill="1A2B3C"/>
          </w:tcPr>
          <w:p>
            <w:pPr>
              <w:spacing w:before="60" w:after="60"/>
            </w:pPr>
            <w:r>
              <w:rPr>
                <w:b/>
                <w:bCs/>
                <w:color w:val="FFFFFF"/>
                <w:sz w:val="18"/>
              </w:rPr>
              <w:t>Warm-Path Status / Notes</w:t>
            </w:r>
          </w:p>
        </w:tc>
      </w:tr>
      <w:tr>
        <w:tc>
          <w:tcPr>
            <w:tcW w:w="1700" w:type="dxa"/>
            <w:shd w:val="clear" w:color="auto" w:fill="FFFFFF"/>
          </w:tcPr>
          <w:p>
            <w:pPr>
              <w:spacing w:before="40" w:after="40"/>
            </w:pPr>
            <w:r>
              <w:rPr>
                <w:b/>
                <w:bCs/>
                <w:sz w:val="18"/>
              </w:rPr>
              <w:t xml:space="preserve">Paul Flick</w:t>
            </w:r>
          </w:p>
        </w:tc>
        <w:tc>
          <w:tcPr>
            <w:tcW w:w="1900" w:type="dxa"/>
            <w:shd w:val="clear" w:color="auto" w:fill="FFFFFF"/>
          </w:tcPr>
          <w:p>
            <w:pPr>
              <w:spacing w:before="40" w:after="40"/>
            </w:pPr>
            <w:r>
              <w:rPr>
                <w:sz w:val="18"/>
              </w:rPr>
              <w:t xml:space="preserve">Founder &amp; CEO</w:t>
            </w:r>
          </w:p>
        </w:tc>
        <w:tc>
          <w:tcPr>
            <w:tcW w:w="1900" w:type="dxa"/>
            <w:shd w:val="clear" w:color="auto" w:fill="FFFFFF"/>
          </w:tcPr>
          <w:p>
            <w:pPr>
              <w:spacing w:before="40" w:after="40"/>
            </w:pPr>
            <w:r>
              <w:rPr>
                <w:color w:val="185FA5"/>
                <w:sz w:val="16"/>
              </w:rPr>
              <w:t xml:space="preserve">paul-e-flick-0a15186</w:t>
            </w:r>
          </w:p>
        </w:tc>
        <w:tc>
          <w:tcPr>
            <w:tcW w:w="1700" w:type="dxa"/>
            <w:shd w:val="clear" w:color="auto" w:fill="FFFFFF"/>
          </w:tcPr>
          <w:p>
            <w:pPr>
              <w:spacing w:before="40" w:after="40"/>
            </w:pPr>
            <w:r>
              <w:rPr>
                <w:sz w:val="16"/>
              </w:rPr>
              <w:t xml:space="preserve">University of Windsor BA Political Science 1988-1991 ⭐ Canadian. Coca-Cola Bottling Sales/</w:t>
            </w:r>
          </w:p>
        </w:tc>
        <w:tc>
          <w:tcPr>
            <w:tcW w:w="1800" w:type="dxa"/>
            <w:shd w:val="clear" w:color="auto" w:fill="FFFFFF"/>
          </w:tcPr>
          <w:p>
            <w:pPr>
              <w:spacing w:before="40" w:after="40"/>
            </w:pPr>
            <w:r>
              <w:rPr>
                <w:i/>
                <w:iCs/>
                <w:sz w:val="16"/>
              </w:rPr>
              <w:t xml:space="preserve"/>
            </w:r>
          </w:p>
        </w:tc>
      </w:tr>
      <w:tr>
        <w:tc>
          <w:tcPr>
            <w:tcW w:w="1700" w:type="dxa"/>
            <w:shd w:val="clear" w:color="auto" w:fill="FFFFFF"/>
          </w:tcPr>
          <w:p>
            <w:pPr>
              <w:spacing w:before="40" w:after="40"/>
            </w:pPr>
            <w:r>
              <w:rPr>
                <w:b/>
                <w:bCs/>
                <w:sz w:val="18"/>
              </w:rPr>
              <w:t xml:space="preserve">Roxanne Conrad</w:t>
            </w:r>
          </w:p>
        </w:tc>
        <w:tc>
          <w:tcPr>
            <w:tcW w:w="1900" w:type="dxa"/>
            <w:shd w:val="clear" w:color="auto" w:fill="FFFFFF"/>
          </w:tcPr>
          <w:p>
            <w:pPr>
              <w:spacing w:before="40" w:after="40"/>
            </w:pPr>
            <w:r>
              <w:rPr>
                <w:sz w:val="18"/>
              </w:rPr>
              <w:t xml:space="preserve">COO</w:t>
            </w:r>
          </w:p>
        </w:tc>
        <w:tc>
          <w:tcPr>
            <w:tcW w:w="1900" w:type="dxa"/>
            <w:shd w:val="clear" w:color="auto" w:fill="FFFFFF"/>
          </w:tcPr>
          <w:p>
            <w:pPr>
              <w:spacing w:before="40" w:after="40"/>
            </w:pPr>
            <w:r>
              <w:rPr>
                <w:color w:val="185FA5"/>
                <w:sz w:val="16"/>
              </w:rPr>
              <w:t xml:space="preserve">roxanneconrad</w:t>
            </w:r>
          </w:p>
        </w:tc>
        <w:tc>
          <w:tcPr>
            <w:tcW w:w="1700" w:type="dxa"/>
            <w:shd w:val="clear" w:color="auto" w:fill="FFFFFF"/>
          </w:tcPr>
          <w:p>
            <w:pPr>
              <w:spacing w:before="40" w:after="40"/>
            </w:pPr>
            <w:r>
              <w:rPr>
                <w:sz w:val="16"/>
              </w:rPr>
              <w:t xml:space="preserve">Former 360 Painting franchisee = practitioner background, no degree confirmed</w:t>
            </w:r>
          </w:p>
        </w:tc>
        <w:tc>
          <w:tcPr>
            <w:tcW w:w="1800" w:type="dxa"/>
            <w:shd w:val="clear" w:color="auto" w:fill="FFFFFF"/>
          </w:tcPr>
          <w:p>
            <w:pPr>
              <w:spacing w:before="40" w:after="40"/>
            </w:pPr>
            <w:r>
              <w:rPr>
                <w:i/>
                <w:iCs/>
                <w:sz w:val="16"/>
              </w:rPr>
              <w:t xml:space="preserve"/>
            </w:r>
          </w:p>
        </w:tc>
      </w:tr>
      <w:tr>
        <w:tc>
          <w:tcPr>
            <w:tcW w:w="1700" w:type="dxa"/>
            <w:shd w:val="clear" w:color="auto" w:fill="FFFFFF"/>
          </w:tcPr>
          <w:p>
            <w:pPr>
              <w:spacing w:before="40" w:after="40"/>
            </w:pPr>
            <w:r>
              <w:rPr>
                <w:b/>
                <w:bCs/>
                <w:sz w:val="18"/>
              </w:rPr>
              <w:t xml:space="preserve">Gabe Colon</w:t>
            </w:r>
          </w:p>
        </w:tc>
        <w:tc>
          <w:tcPr>
            <w:tcW w:w="1900" w:type="dxa"/>
            <w:shd w:val="clear" w:color="auto" w:fill="FFFFFF"/>
          </w:tcPr>
          <w:p>
            <w:pPr>
              <w:spacing w:before="40" w:after="40"/>
            </w:pPr>
            <w:r>
              <w:rPr>
                <w:sz w:val="18"/>
              </w:rPr>
              <w:t xml:space="preserve">EVP Performance</w:t>
            </w:r>
          </w:p>
        </w:tc>
        <w:tc>
          <w:tcPr>
            <w:tcW w:w="1900" w:type="dxa"/>
            <w:shd w:val="clear" w:color="auto" w:fill="FFFFFF"/>
          </w:tcPr>
          <w:p>
            <w:pPr>
              <w:spacing w:before="40" w:after="40"/>
            </w:pPr>
            <w:r>
              <w:rPr>
                <w:color w:val="185FA5"/>
                <w:sz w:val="16"/>
              </w:rPr>
              <w:t xml:space="preserve">gabecolon</w:t>
            </w:r>
          </w:p>
        </w:tc>
        <w:tc>
          <w:tcPr>
            <w:tcW w:w="1700" w:type="dxa"/>
            <w:shd w:val="clear" w:color="auto" w:fill="FFFFFF"/>
          </w:tcPr>
          <w:p>
            <w:pPr>
              <w:spacing w:before="40" w:after="40"/>
            </w:pPr>
            <w:r>
              <w:rPr>
                <w:sz w:val="16"/>
              </w:rPr>
              <w:t xml:space="preserve">—</w:t>
            </w:r>
          </w:p>
        </w:tc>
        <w:tc>
          <w:tcPr>
            <w:tcW w:w="1800" w:type="dxa"/>
            <w:shd w:val="clear" w:color="auto" w:fill="FFFFFF"/>
          </w:tcPr>
          <w:p>
            <w:pPr>
              <w:spacing w:before="40" w:after="40"/>
            </w:pPr>
            <w:r>
              <w:rPr>
                <w:i/>
                <w:iCs/>
                <w:sz w:val="16"/>
              </w:rPr>
              <w:t xml:space="preserve"/>
            </w:r>
          </w:p>
        </w:tc>
      </w:tr>
      <w:tr>
        <w:tc>
          <w:tcPr>
            <w:tcW w:w="1700" w:type="dxa"/>
            <w:shd w:val="clear" w:color="auto" w:fill="FFFFFF"/>
          </w:tcPr>
          <w:p>
            <w:pPr>
              <w:spacing w:before="40" w:after="40"/>
            </w:pPr>
            <w:r>
              <w:rPr>
                <w:b/>
                <w:bCs/>
                <w:sz w:val="18"/>
              </w:rPr>
              <w:t xml:space="preserve">David Raymond</w:t>
            </w:r>
          </w:p>
        </w:tc>
        <w:tc>
          <w:tcPr>
            <w:tcW w:w="1900" w:type="dxa"/>
            <w:shd w:val="clear" w:color="auto" w:fill="FFFFFF"/>
          </w:tcPr>
          <w:p>
            <w:pPr>
              <w:spacing w:before="40" w:after="40"/>
            </w:pPr>
            <w:r>
              <w:rPr>
                <w:sz w:val="18"/>
              </w:rPr>
              <w:t xml:space="preserve">PSB COO + ProLift VP Operations + Rubbish Works/ProLift dual</w:t>
            </w:r>
          </w:p>
        </w:tc>
        <w:tc>
          <w:tcPr>
            <w:tcW w:w="1900" w:type="dxa"/>
            <w:shd w:val="clear" w:color="auto" w:fill="FFFFFF"/>
          </w:tcPr>
          <w:p>
            <w:pPr>
              <w:spacing w:before="40" w:after="40"/>
            </w:pPr>
            <w:r>
              <w:rPr>
                <w:color w:val="185FA5"/>
                <w:sz w:val="16"/>
              </w:rPr>
              <w:t xml:space="preserve"/>
            </w:r>
          </w:p>
        </w:tc>
        <w:tc>
          <w:tcPr>
            <w:tcW w:w="1700" w:type="dxa"/>
            <w:shd w:val="clear" w:color="auto" w:fill="FFFFFF"/>
          </w:tcPr>
          <w:p>
            <w:pPr>
              <w:spacing w:before="40" w:after="40"/>
            </w:pPr>
            <w:r>
              <w:rPr>
                <w:sz w:val="16"/>
              </w:rPr>
              <w:t xml:space="preserve">—</w:t>
            </w:r>
          </w:p>
        </w:tc>
        <w:tc>
          <w:tcPr>
            <w:tcW w:w="1800" w:type="dxa"/>
            <w:shd w:val="clear" w:color="auto" w:fill="FFFFFF"/>
          </w:tcPr>
          <w:p>
            <w:pPr>
              <w:spacing w:before="40" w:after="40"/>
            </w:pPr>
            <w:r>
              <w:rPr>
                <w:i/>
                <w:iCs/>
                <w:sz w:val="16"/>
              </w:rPr>
              <w:t xml:space="preserve"/>
            </w:r>
          </w:p>
        </w:tc>
      </w:tr>
      <w:tr>
        <w:tc>
          <w:tcPr>
            <w:tcW w:w="1700" w:type="dxa"/>
            <w:shd w:val="clear" w:color="auto" w:fill="FFFFFF"/>
          </w:tcPr>
          <w:p>
            <w:pPr>
              <w:spacing w:before="40" w:after="40"/>
            </w:pPr>
            <w:r>
              <w:rPr>
                <w:b/>
                <w:bCs/>
                <w:sz w:val="18"/>
              </w:rPr>
              <w:t xml:space="preserve">Justin Penard</w:t>
            </w:r>
          </w:p>
        </w:tc>
        <w:tc>
          <w:tcPr>
            <w:tcW w:w="1900" w:type="dxa"/>
            <w:shd w:val="clear" w:color="auto" w:fill="FFFFFF"/>
          </w:tcPr>
          <w:p>
            <w:pPr>
              <w:spacing w:before="40" w:after="40"/>
            </w:pPr>
            <w:r>
              <w:rPr>
                <w:sz w:val="18"/>
              </w:rPr>
              <w:t xml:space="preserve">Grout Medic VP Franchise Dev</w:t>
            </w:r>
          </w:p>
        </w:tc>
        <w:tc>
          <w:tcPr>
            <w:tcW w:w="1900" w:type="dxa"/>
            <w:shd w:val="clear" w:color="auto" w:fill="FFFFFF"/>
          </w:tcPr>
          <w:p>
            <w:pPr>
              <w:spacing w:before="40" w:after="40"/>
            </w:pPr>
            <w:r>
              <w:rPr>
                <w:color w:val="185FA5"/>
                <w:sz w:val="16"/>
              </w:rPr>
              <w:t xml:space="preserve"/>
            </w:r>
          </w:p>
        </w:tc>
        <w:tc>
          <w:tcPr>
            <w:tcW w:w="1700" w:type="dxa"/>
            <w:shd w:val="clear" w:color="auto" w:fill="FFFFFF"/>
          </w:tcPr>
          <w:p>
            <w:pPr>
              <w:spacing w:before="40" w:after="40"/>
            </w:pPr>
            <w:r>
              <w:rPr>
                <w:sz w:val="16"/>
              </w:rPr>
              <w:t xml:space="preserve">—</w:t>
            </w:r>
          </w:p>
        </w:tc>
        <w:tc>
          <w:tcPr>
            <w:tcW w:w="1800" w:type="dxa"/>
            <w:shd w:val="clear" w:color="auto" w:fill="FFFFFF"/>
          </w:tcPr>
          <w:p>
            <w:pPr>
              <w:spacing w:before="40" w:after="40"/>
            </w:pPr>
            <w:r>
              <w:rPr>
                <w:i/>
                <w:iCs/>
                <w:sz w:val="16"/>
              </w:rPr>
              <w:t xml:space="preserve"/>
            </w:r>
          </w:p>
        </w:tc>
      </w:tr>
      <w:tr>
        <w:tc>
          <w:tcPr>
            <w:tcW w:w="1700" w:type="dxa"/>
            <w:shd w:val="clear" w:color="auto" w:fill="FFFFFF"/>
          </w:tcPr>
          <w:p>
            <w:pPr>
              <w:spacing w:before="40" w:after="40"/>
            </w:pPr>
            <w:r>
              <w:rPr>
                <w:b/>
                <w:bCs/>
                <w:sz w:val="18"/>
              </w:rPr>
              <w:t xml:space="preserve">Travis Nicolette MBA</w:t>
            </w:r>
          </w:p>
        </w:tc>
        <w:tc>
          <w:tcPr>
            <w:tcW w:w="1900" w:type="dxa"/>
            <w:shd w:val="clear" w:color="auto" w:fill="FFFFFF"/>
          </w:tcPr>
          <w:p>
            <w:pPr>
              <w:spacing w:before="40" w:after="40"/>
            </w:pPr>
            <w:r>
              <w:rPr>
                <w:sz w:val="18"/>
              </w:rPr>
              <w:t xml:space="preserve">NEW ProLift Brand Pres</w:t>
            </w:r>
          </w:p>
        </w:tc>
        <w:tc>
          <w:tcPr>
            <w:tcW w:w="1900" w:type="dxa"/>
            <w:shd w:val="clear" w:color="auto" w:fill="FFFFFF"/>
          </w:tcPr>
          <w:p>
            <w:pPr>
              <w:spacing w:before="40" w:after="40"/>
            </w:pPr>
            <w:r>
              <w:rPr>
                <w:color w:val="185FA5"/>
                <w:sz w:val="16"/>
              </w:rPr>
              <w:t xml:space="preserve"/>
            </w:r>
          </w:p>
        </w:tc>
        <w:tc>
          <w:tcPr>
            <w:tcW w:w="1700" w:type="dxa"/>
            <w:shd w:val="clear" w:color="auto" w:fill="FFFFFF"/>
          </w:tcPr>
          <w:p>
            <w:pPr>
              <w:spacing w:before="40" w:after="40"/>
            </w:pPr>
            <w:r>
              <w:rPr>
                <w:sz w:val="16"/>
              </w:rPr>
              <w:t xml:space="preserve">—</w:t>
            </w:r>
          </w:p>
        </w:tc>
        <w:tc>
          <w:tcPr>
            <w:tcW w:w="1800" w:type="dxa"/>
            <w:shd w:val="clear" w:color="auto" w:fill="FFFFFF"/>
          </w:tcPr>
          <w:p>
            <w:pPr>
              <w:spacing w:before="40" w:after="40"/>
            </w:pPr>
            <w:r>
              <w:rPr>
                <w:i/>
                <w:iCs/>
                <w:sz w:val="16"/>
              </w:rPr>
              <w:t xml:space="preserve"/>
            </w:r>
          </w:p>
        </w:tc>
      </w:tr>
    </w:tbl>
    <w:p>
      <w:pPr>
        <w:pStyle w:val="Heading1"/>
      </w:pPr>
      <w:r>
        <w:t xml:space="preserve">📞 Outreach plan &amp; sequencing — IN DEVELOPMENT</w:t>
      </w:r>
    </w:p>
    <w:tbl>
      <w:tblPr>
        <w:tblW w:w="9000" w:type="dxa"/>
        <w:tblBorders>
          <w:top w:val="single" w:sz="4" w:space="0" w:color="D97706"/>
          <w:left w:val="single" w:sz="4" w:space="0" w:color="D97706"/>
          <w:bottom w:val="single" w:sz="4" w:space="0" w:color="D97706"/>
          <w:right w:val="single" w:sz="4" w:space="0" w:color="D97706"/>
        </w:tblBorders>
      </w:tblPr>
      <w:tblGrid>
        <w:gridCol w:w="9000"/>
      </w:tblGrid>
      <w:tr>
        <w:tc>
          <w:tcPr>
            <w:tcW w:w="9000" w:type="dxa"/>
            <w:shd w:val="clear" w:color="auto" w:fill="FEF3C7"/>
          </w:tcPr>
          <w:p>
            <w:pPr>
              <w:spacing w:before="80" w:after="80"/>
            </w:pPr>
            <w:r>
              <w:rPr>
                <w:b/>
                <w:bCs/>
                <w:color w:val="92400E"/>
              </w:rPr>
              <w:t xml:space="preserve">Status: </w:t>
            </w:r>
            <w:r>
              <w:t xml:space="preserve">Working with Becky (GPS Insight Marketing) on a coordinated warm marketing touch plan that sequences outreach against the contacts above using Alumni Crossover v19 warm anchors. Will populate as deliverables land. Live entries in Master CRM v15.36 Engagement Log (#79–83).</w:t>
            </w:r>
          </w:p>
        </w:tc>
      </w:tr>
    </w:tbl>
    <w:p>
      <w:pPr>
        <w:spacing w:before="80" w:after="80"/>
      </w:pPr>
      <w:r>
        <w:rPr>
          <w:b/>
          <w:bCs/>
          <w:color w:val="1A2B3C"/>
        </w:rPr>
        <w:t xml:space="preserve">Inputs needed from GPS Insight team:</w:t>
      </w:r>
    </w:p>
    <w:p>
      <w:pPr>
        <w:spacing w:before="40" w:after="40"/>
        <w:ind w:left="360" w:hanging="360"/>
      </w:pPr>
      <w:r>
        <w:t xml:space="preserve">• </w:t>
      </w:r>
      <w:r>
        <w:t xml:space="preserve">Alumni hits in column J of Alumni Crossover v19 (alma mater matches)</w:t>
      </w:r>
    </w:p>
    <w:p>
      <w:pPr>
        <w:spacing w:before="40" w:after="40"/>
        <w:ind w:left="360" w:hanging="360"/>
      </w:pPr>
      <w:r>
        <w:t xml:space="preserve">• </w:t>
      </w:r>
      <w:r>
        <w:t xml:space="preserve">LinkedIn 1st-degree mutual connections — click each LinkedIn URL above</w:t>
      </w:r>
    </w:p>
    <w:p>
      <w:pPr>
        <w:spacing w:before="40" w:after="40"/>
        <w:ind w:left="360" w:hanging="360"/>
      </w:pPr>
      <w:r>
        <w:t xml:space="preserve">• </w:t>
      </w:r>
      <w:r>
        <w:t xml:space="preserve">Verification of any flagged status changes before sequencing</w:t>
      </w:r>
    </w:p>
    <w:p>
      <w:pPr>
        <w:pStyle w:val="Heading1"/>
        <w:spacing w:after="180" w:before="360"/>
      </w:pPr>
      <w:r>
        <w:rPr>
          <w:rFonts w:ascii="Arial" w:cs="Arial" w:eastAsia="Arial" w:hAnsi="Arial"/>
          <w:b/>
          <w:bCs/>
          <w:color w:val="1A2B3C"/>
          <w:sz w:val="32"/>
          <w:szCs w:val="32"/>
        </w:rPr>
        <w:t xml:space="preserve">⚔️ Competitive landscape — where the headwinds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E8F4F4" w:val="clear"/>
            <w:tcMar>
              <w:top w:type="dxa" w:w="200"/>
              <w:left w:type="dxa" w:w="240"/>
              <w:bottom w:type="dxa" w:w="200"/>
              <w:right w:type="dxa" w:w="240"/>
            </w:tcMar>
          </w:tcPr>
          <w:p>
            <w:pPr>
              <w:spacing w:after="120"/>
            </w:pPr>
            <w:r>
              <w:rPr>
                <w:rFonts w:ascii="Arial" w:cs="Arial" w:eastAsia="Arial" w:hAnsi="Arial"/>
                <w:b/>
                <w:bCs/>
                <w:color w:val="1A2B3C"/>
                <w:sz w:val="24"/>
                <w:szCs w:val="24"/>
              </w:rPr>
              <w:t xml:space="preserve">My read on PSB's FSM landscape</w:t>
            </w:r>
          </w:p>
          <w:p>
            <w:r>
              <w:rPr>
                <w:rFonts w:ascii="Arial" w:cs="Arial" w:eastAsia="Arial" w:hAnsi="Arial"/>
                <w:sz w:val="22"/>
                <w:szCs w:val="22"/>
              </w:rPr>
              <w:t xml:space="preserve">No portfolio-wide FSM mandate — PSB's own Franchise Disclosure Document (FDD — the legal document franchisors file annually that lists required vendor costs and financial details) describes 'pilot-testing a tech solution.' RooterMan is 70% of the network. Network-level financial distress ($5.8M parent deficit, 15% RooterMan churn) means franchisor-level rollout funding is unlikely. The pitch shifts from displacement to franchisee-up adoption, particularly through retention angles. Nesto is customer loyalty (not FSM) — earlier confusion in our notes is corrected.</w:t>
            </w:r>
          </w:p>
        </w:tc>
      </w:tr>
    </w:tbl>
    <w:p>
      <w:pPr>
        <w:pStyle w:val="Heading2"/>
        <w:spacing w:after="140" w:before="280"/>
      </w:pPr>
      <w:r>
        <w:rPr>
          <w:rFonts w:ascii="Arial" w:cs="Arial" w:eastAsia="Arial" w:hAnsi="Arial"/>
          <w:b/>
          <w:bCs/>
          <w:color w:val="185FA5"/>
          <w:sz w:val="26"/>
          <w:szCs w:val="26"/>
        </w:rPr>
        <w:t xml:space="preserve">Brand-by-brand FSM map</w:t>
      </w:r>
    </w:p>
    <w:p>
      <w:pPr>
        <w:spacing w:after="80" w:before="80"/>
      </w:pPr>
      <w:r>
        <w:rPr>
          <w:rFonts w:ascii="Arial" w:cs="Arial" w:eastAsia="Arial" w:hAnsi="Arial"/>
          <w:sz w:val="22"/>
          <w:szCs w:val="22"/>
        </w:rPr>
        <w:t xml:space="preserve">Where each brand stands on FSM today, who pays for it, and how big the headwind is for displacement. Highlights where we have open territory vs where the incumbent is locked in.</w:t>
      </w:r>
    </w:p>
    <w:tbl>
      <w:tblPr>
        <w:tblW w:type="dxa" w:w="1078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1800"/>
        <w:gridCol w:w="1100"/>
        <w:gridCol w:w="950"/>
        <w:gridCol w:w="3330"/>
      </w:tblGrid>
      <w:tr>
        <w:trPr>
          <w:tblHeader/>
        </w:trPr>
        <w:tc>
          <w:tcPr>
            <w:tcW w:type="dxa" w:w="1700"/>
            <w:tcBorders>
              <w:top w:val="single" w:color="CCCCCC" w:sz="4"/>
              <w:left w:val="single" w:color="CCCCCC" w:sz="4"/>
              <w:bottom w:val="single" w:color="CCCCCC" w:sz="4"/>
              <w:right w:val="single" w:color="CCCCCC" w:sz="4"/>
            </w:tcBorders>
            <w:shd w:fill="1A2B3C"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Brand</w:t>
            </w:r>
          </w:p>
        </w:tc>
        <w:tc>
          <w:tcPr>
            <w:tcW w:type="dxa" w:w="1900"/>
            <w:tcBorders>
              <w:top w:val="single" w:color="CCCCCC" w:sz="4"/>
              <w:left w:val="single" w:color="CCCCCC" w:sz="4"/>
              <w:bottom w:val="single" w:color="CCCCCC" w:sz="4"/>
              <w:right w:val="single" w:color="CCCCCC" w:sz="4"/>
            </w:tcBorders>
            <w:shd w:fill="1A2B3C"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Current FSM</w:t>
            </w:r>
          </w:p>
        </w:tc>
        <w:tc>
          <w:tcPr>
            <w:tcW w:type="dxa" w:w="1800"/>
            <w:tcBorders>
              <w:top w:val="single" w:color="CCCCCC" w:sz="4"/>
              <w:left w:val="single" w:color="CCCCCC" w:sz="4"/>
              <w:bottom w:val="single" w:color="CCCCCC" w:sz="4"/>
              <w:right w:val="single" w:color="CCCCCC" w:sz="4"/>
            </w:tcBorders>
            <w:shd w:fill="1A2B3C"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Mandate vs choice</w:t>
            </w:r>
          </w:p>
        </w:tc>
        <w:tc>
          <w:tcPr>
            <w:tcW w:type="dxa" w:w="1100"/>
            <w:tcBorders>
              <w:top w:val="single" w:color="CCCCCC" w:sz="4"/>
              <w:left w:val="single" w:color="CCCCCC" w:sz="4"/>
              <w:bottom w:val="single" w:color="CCCCCC" w:sz="4"/>
              <w:right w:val="single" w:color="CCCCCC" w:sz="4"/>
            </w:tcBorders>
            <w:shd w:fill="1A2B3C"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Headwind</w:t>
            </w:r>
          </w:p>
        </w:tc>
        <w:tc>
          <w:tcPr>
            <w:tcW w:type="dxa" w:w="950"/>
            <w:tcBorders>
              <w:top w:val="single" w:color="CCCCCC" w:sz="4"/>
              <w:left w:val="single" w:color="CCCCCC" w:sz="4"/>
              <w:bottom w:val="single" w:color="CCCCCC" w:sz="4"/>
              <w:right w:val="single" w:color="CCCCCC" w:sz="4"/>
            </w:tcBorders>
            <w:shd w:fill="1A2B3C"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GPO</w:t>
            </w:r>
          </w:p>
        </w:tc>
        <w:tc>
          <w:tcPr>
            <w:tcW w:type="dxa" w:w="3330"/>
            <w:tcBorders>
              <w:top w:val="single" w:color="CCCCCC" w:sz="4"/>
              <w:left w:val="single" w:color="CCCCCC" w:sz="4"/>
              <w:bottom w:val="single" w:color="CCCCCC" w:sz="4"/>
              <w:right w:val="single" w:color="CCCCCC" w:sz="4"/>
            </w:tcBorders>
            <w:shd w:fill="1A2B3C"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My read</w:t>
            </w:r>
          </w:p>
        </w:tc>
      </w:tr>
      <w:tr>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i w:val="false"/>
                <w:iCs w:val="false"/>
                <w:sz w:val="17"/>
                <w:szCs w:val="17"/>
              </w:rPr>
              <w:t xml:space="preserve">RooterMan</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7"/>
                <w:szCs w:val="17"/>
              </w:rPr>
              <w:t xml:space="preserve">Franchisee-choice — varies by operator</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7"/>
                <w:szCs w:val="17"/>
              </w:rPr>
              <w:t xml:space="preserve">Franchisee-paid</w:t>
            </w:r>
          </w:p>
        </w:tc>
        <w:tc>
          <w:tcPr>
            <w:tcW w:type="dxa" w:w="1100"/>
            <w:tcBorders>
              <w:top w:val="single" w:color="CCCCCC" w:sz="4"/>
              <w:left w:val="single" w:color="CCCCCC" w:sz="4"/>
              <w:bottom w:val="single" w:color="CCCCCC" w:sz="4"/>
              <w:right w:val="single" w:color="CCCCCC" w:sz="4"/>
            </w:tcBorders>
            <w:shd w:fill="FFF8E1" w:val="clear"/>
            <w:tcMar>
              <w:top w:type="dxa" w:w="80"/>
              <w:left w:type="dxa" w:w="120"/>
              <w:bottom w:type="dxa" w:w="80"/>
              <w:right w:type="dxa" w:w="120"/>
            </w:tcMar>
          </w:tcPr>
          <w:p>
            <w:pPr>
              <w:jc w:val="center"/>
            </w:pPr>
            <w:r>
              <w:rPr>
                <w:rFonts w:ascii="Arial" w:cs="Arial" w:eastAsia="Arial" w:hAnsi="Arial"/>
                <w:b/>
                <w:bCs/>
                <w:i w:val="false"/>
                <w:iCs w:val="false"/>
                <w:color w:val="6B5500"/>
                <w:sz w:val="16"/>
                <w:szCs w:val="16"/>
              </w:rPr>
              <w:t xml:space="preserve">MEDIUM</w:t>
            </w:r>
          </w:p>
        </w:tc>
        <w:tc>
          <w:tcPr>
            <w:tcW w:type="dxa" w:w="950"/>
            <w:tcBorders>
              <w:top w:val="single" w:color="CCCCCC" w:sz="4"/>
              <w:left w:val="single" w:color="CCCCCC" w:sz="4"/>
              <w:bottom w:val="single" w:color="CCCCCC" w:sz="4"/>
              <w:right w:val="single" w:color="CCCCCC" w:sz="4"/>
            </w:tcBorders>
            <w:shd w:fill="FAECE7" w:val="clear"/>
            <w:tcMar>
              <w:top w:type="dxa" w:w="80"/>
              <w:left w:type="dxa" w:w="120"/>
              <w:bottom w:type="dxa" w:w="80"/>
              <w:right w:type="dxa" w:w="120"/>
            </w:tcMar>
          </w:tcPr>
          <w:p>
            <w:pPr>
              <w:jc w:val="center"/>
            </w:pPr>
            <w:r>
              <w:rPr>
                <w:rFonts w:ascii="Arial" w:cs="Arial" w:eastAsia="Arial" w:hAnsi="Arial"/>
                <w:b/>
                <w:bCs/>
                <w:i w:val="false"/>
                <w:iCs w:val="false"/>
                <w:color w:val="A32D2D"/>
                <w:sz w:val="16"/>
                <w:szCs w:val="16"/>
              </w:rPr>
              <w:t xml:space="preserve">No</w:t>
            </w:r>
          </w:p>
        </w:tc>
        <w:tc>
          <w:tcPr>
            <w:tcW w:type="dxa" w:w="333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7"/>
                <w:szCs w:val="17"/>
              </w:rPr>
              <w:t xml:space="preserve">70% of PSB network at 720-750 locations. Plumbing operators often run ServiceTitan, FieldEdge, Housecall Pro, or homegrown. Highly fragmented. Volume play.</w:t>
            </w:r>
          </w:p>
        </w:tc>
      </w:tr>
      <w:tr>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i w:val="false"/>
                <w:iCs w:val="false"/>
                <w:sz w:val="17"/>
                <w:szCs w:val="17"/>
              </w:rPr>
              <w:t xml:space="preserve">360 Painting</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7"/>
                <w:szCs w:val="17"/>
              </w:rPr>
              <w:t xml:space="preserve">Franchisee-choice — varies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7"/>
                <w:szCs w:val="17"/>
              </w:rPr>
              <w:t xml:space="preserve">Franchisee-paid</w:t>
            </w:r>
          </w:p>
        </w:tc>
        <w:tc>
          <w:tcPr>
            <w:tcW w:type="dxa" w:w="1100"/>
            <w:tcBorders>
              <w:top w:val="single" w:color="CCCCCC" w:sz="4"/>
              <w:left w:val="single" w:color="CCCCCC" w:sz="4"/>
              <w:bottom w:val="single" w:color="CCCCCC" w:sz="4"/>
              <w:right w:val="single" w:color="CCCCCC" w:sz="4"/>
            </w:tcBorders>
            <w:shd w:fill="EAF3DE" w:val="clear"/>
            <w:tcMar>
              <w:top w:type="dxa" w:w="80"/>
              <w:left w:type="dxa" w:w="120"/>
              <w:bottom w:type="dxa" w:w="80"/>
              <w:right w:type="dxa" w:w="120"/>
            </w:tcMar>
          </w:tcPr>
          <w:p>
            <w:pPr>
              <w:jc w:val="center"/>
            </w:pPr>
            <w:r>
              <w:rPr>
                <w:rFonts w:ascii="Arial" w:cs="Arial" w:eastAsia="Arial" w:hAnsi="Arial"/>
                <w:b/>
                <w:bCs/>
                <w:i w:val="false"/>
                <w:iCs w:val="false"/>
                <w:color w:val="27500A"/>
                <w:sz w:val="16"/>
                <w:szCs w:val="16"/>
              </w:rPr>
              <w:t xml:space="preserve">LOW</w:t>
            </w:r>
          </w:p>
        </w:tc>
        <w:tc>
          <w:tcPr>
            <w:tcW w:type="dxa" w:w="950"/>
            <w:tcBorders>
              <w:top w:val="single" w:color="CCCCCC" w:sz="4"/>
              <w:left w:val="single" w:color="CCCCCC" w:sz="4"/>
              <w:bottom w:val="single" w:color="CCCCCC" w:sz="4"/>
              <w:right w:val="single" w:color="CCCCCC" w:sz="4"/>
            </w:tcBorders>
            <w:shd w:fill="FAECE7" w:val="clear"/>
            <w:tcMar>
              <w:top w:type="dxa" w:w="80"/>
              <w:left w:type="dxa" w:w="120"/>
              <w:bottom w:type="dxa" w:w="80"/>
              <w:right w:type="dxa" w:w="120"/>
            </w:tcMar>
          </w:tcPr>
          <w:p>
            <w:pPr>
              <w:jc w:val="center"/>
            </w:pPr>
            <w:r>
              <w:rPr>
                <w:rFonts w:ascii="Arial" w:cs="Arial" w:eastAsia="Arial" w:hAnsi="Arial"/>
                <w:b/>
                <w:bCs/>
                <w:i w:val="false"/>
                <w:iCs w:val="false"/>
                <w:color w:val="A32D2D"/>
                <w:sz w:val="16"/>
                <w:szCs w:val="16"/>
              </w:rPr>
              <w:t xml:space="preserve">No</w:t>
            </w:r>
          </w:p>
        </w:tc>
        <w:tc>
          <w:tcPr>
            <w:tcW w:type="dxa" w:w="333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7"/>
                <w:szCs w:val="17"/>
              </w:rPr>
              <w:t xml:space="preserve">Painting vertical. Lower platform stickiness.</w:t>
            </w:r>
          </w:p>
        </w:tc>
      </w:tr>
      <w:tr>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i w:val="false"/>
                <w:iCs w:val="false"/>
                <w:sz w:val="17"/>
                <w:szCs w:val="17"/>
              </w:rPr>
              <w:t xml:space="preserve">ProLift Garage Doors</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7"/>
                <w:szCs w:val="17"/>
              </w:rPr>
              <w:t xml:space="preserve">Franchisee-choice — varies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7"/>
                <w:szCs w:val="17"/>
              </w:rPr>
              <w:t xml:space="preserve">Franchisee-paid</w:t>
            </w:r>
          </w:p>
        </w:tc>
        <w:tc>
          <w:tcPr>
            <w:tcW w:type="dxa" w:w="1100"/>
            <w:tcBorders>
              <w:top w:val="single" w:color="CCCCCC" w:sz="4"/>
              <w:left w:val="single" w:color="CCCCCC" w:sz="4"/>
              <w:bottom w:val="single" w:color="CCCCCC" w:sz="4"/>
              <w:right w:val="single" w:color="CCCCCC" w:sz="4"/>
            </w:tcBorders>
            <w:shd w:fill="FFF8E1" w:val="clear"/>
            <w:tcMar>
              <w:top w:type="dxa" w:w="80"/>
              <w:left w:type="dxa" w:w="120"/>
              <w:bottom w:type="dxa" w:w="80"/>
              <w:right w:type="dxa" w:w="120"/>
            </w:tcMar>
          </w:tcPr>
          <w:p>
            <w:pPr>
              <w:jc w:val="center"/>
            </w:pPr>
            <w:r>
              <w:rPr>
                <w:rFonts w:ascii="Arial" w:cs="Arial" w:eastAsia="Arial" w:hAnsi="Arial"/>
                <w:b/>
                <w:bCs/>
                <w:i w:val="false"/>
                <w:iCs w:val="false"/>
                <w:color w:val="6B5500"/>
                <w:sz w:val="16"/>
                <w:szCs w:val="16"/>
              </w:rPr>
              <w:t xml:space="preserve">MEDIUM</w:t>
            </w:r>
          </w:p>
        </w:tc>
        <w:tc>
          <w:tcPr>
            <w:tcW w:type="dxa" w:w="950"/>
            <w:tcBorders>
              <w:top w:val="single" w:color="CCCCCC" w:sz="4"/>
              <w:left w:val="single" w:color="CCCCCC" w:sz="4"/>
              <w:bottom w:val="single" w:color="CCCCCC" w:sz="4"/>
              <w:right w:val="single" w:color="CCCCCC" w:sz="4"/>
            </w:tcBorders>
            <w:shd w:fill="FAECE7" w:val="clear"/>
            <w:tcMar>
              <w:top w:type="dxa" w:w="80"/>
              <w:left w:type="dxa" w:w="120"/>
              <w:bottom w:type="dxa" w:w="80"/>
              <w:right w:type="dxa" w:w="120"/>
            </w:tcMar>
          </w:tcPr>
          <w:p>
            <w:pPr>
              <w:jc w:val="center"/>
            </w:pPr>
            <w:r>
              <w:rPr>
                <w:rFonts w:ascii="Arial" w:cs="Arial" w:eastAsia="Arial" w:hAnsi="Arial"/>
                <w:b/>
                <w:bCs/>
                <w:i w:val="false"/>
                <w:iCs w:val="false"/>
                <w:color w:val="A32D2D"/>
                <w:sz w:val="16"/>
                <w:szCs w:val="16"/>
              </w:rPr>
              <w:t xml:space="preserve">No</w:t>
            </w:r>
          </w:p>
        </w:tc>
        <w:tc>
          <w:tcPr>
            <w:tcW w:type="dxa" w:w="333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7"/>
                <w:szCs w:val="17"/>
              </w:rPr>
              <w:t xml:space="preserve">Garage door specialty. Vertical-specific tools may be embedded.</w:t>
            </w:r>
          </w:p>
        </w:tc>
      </w:tr>
      <w:tr>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i w:val="false"/>
                <w:iCs w:val="false"/>
                <w:sz w:val="17"/>
                <w:szCs w:val="17"/>
              </w:rPr>
              <w:t xml:space="preserve">Maid Right</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7"/>
                <w:szCs w:val="17"/>
              </w:rPr>
              <w:t xml:space="preserve">Franchisee-choice — varies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7"/>
                <w:szCs w:val="17"/>
              </w:rPr>
              <w:t xml:space="preserve">Franchisee-paid</w:t>
            </w:r>
          </w:p>
        </w:tc>
        <w:tc>
          <w:tcPr>
            <w:tcW w:type="dxa" w:w="1100"/>
            <w:tcBorders>
              <w:top w:val="single" w:color="CCCCCC" w:sz="4"/>
              <w:left w:val="single" w:color="CCCCCC" w:sz="4"/>
              <w:bottom w:val="single" w:color="CCCCCC" w:sz="4"/>
              <w:right w:val="single" w:color="CCCCCC" w:sz="4"/>
            </w:tcBorders>
            <w:shd w:fill="FFF8E1" w:val="clear"/>
            <w:tcMar>
              <w:top w:type="dxa" w:w="80"/>
              <w:left w:type="dxa" w:w="120"/>
              <w:bottom w:type="dxa" w:w="80"/>
              <w:right w:type="dxa" w:w="120"/>
            </w:tcMar>
          </w:tcPr>
          <w:p>
            <w:pPr>
              <w:jc w:val="center"/>
            </w:pPr>
            <w:r>
              <w:rPr>
                <w:rFonts w:ascii="Arial" w:cs="Arial" w:eastAsia="Arial" w:hAnsi="Arial"/>
                <w:b/>
                <w:bCs/>
                <w:i w:val="false"/>
                <w:iCs w:val="false"/>
                <w:color w:val="6B5500"/>
                <w:sz w:val="16"/>
                <w:szCs w:val="16"/>
              </w:rPr>
              <w:t xml:space="preserve">MEDIUM</w:t>
            </w:r>
          </w:p>
        </w:tc>
        <w:tc>
          <w:tcPr>
            <w:tcW w:type="dxa" w:w="950"/>
            <w:tcBorders>
              <w:top w:val="single" w:color="CCCCCC" w:sz="4"/>
              <w:left w:val="single" w:color="CCCCCC" w:sz="4"/>
              <w:bottom w:val="single" w:color="CCCCCC" w:sz="4"/>
              <w:right w:val="single" w:color="CCCCCC" w:sz="4"/>
            </w:tcBorders>
            <w:shd w:fill="FAECE7" w:val="clear"/>
            <w:tcMar>
              <w:top w:type="dxa" w:w="80"/>
              <w:left w:type="dxa" w:w="120"/>
              <w:bottom w:type="dxa" w:w="80"/>
              <w:right w:type="dxa" w:w="120"/>
            </w:tcMar>
          </w:tcPr>
          <w:p>
            <w:pPr>
              <w:jc w:val="center"/>
            </w:pPr>
            <w:r>
              <w:rPr>
                <w:rFonts w:ascii="Arial" w:cs="Arial" w:eastAsia="Arial" w:hAnsi="Arial"/>
                <w:b/>
                <w:bCs/>
                <w:i w:val="false"/>
                <w:iCs w:val="false"/>
                <w:color w:val="A32D2D"/>
                <w:sz w:val="16"/>
                <w:szCs w:val="16"/>
              </w:rPr>
              <w:t xml:space="preserve">No</w:t>
            </w:r>
          </w:p>
        </w:tc>
        <w:tc>
          <w:tcPr>
            <w:tcW w:type="dxa" w:w="333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7"/>
                <w:szCs w:val="17"/>
              </w:rPr>
              <w:t xml:space="preserve">Cleaning vertical. ServiceMonster or similar likely.</w:t>
            </w:r>
          </w:p>
        </w:tc>
      </w:tr>
      <w:tr>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i w:val="false"/>
                <w:iCs w:val="false"/>
                <w:sz w:val="17"/>
                <w:szCs w:val="17"/>
              </w:rPr>
              <w:t xml:space="preserve">The Grout Medic</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7"/>
                <w:szCs w:val="17"/>
              </w:rPr>
              <w:t xml:space="preserve">Franchisee-choice — varies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7"/>
                <w:szCs w:val="17"/>
              </w:rPr>
              <w:t xml:space="preserve">Franchisee-paid</w:t>
            </w:r>
          </w:p>
        </w:tc>
        <w:tc>
          <w:tcPr>
            <w:tcW w:type="dxa" w:w="1100"/>
            <w:tcBorders>
              <w:top w:val="single" w:color="CCCCCC" w:sz="4"/>
              <w:left w:val="single" w:color="CCCCCC" w:sz="4"/>
              <w:bottom w:val="single" w:color="CCCCCC" w:sz="4"/>
              <w:right w:val="single" w:color="CCCCCC" w:sz="4"/>
            </w:tcBorders>
            <w:shd w:fill="EAF3DE" w:val="clear"/>
            <w:tcMar>
              <w:top w:type="dxa" w:w="80"/>
              <w:left w:type="dxa" w:w="120"/>
              <w:bottom w:type="dxa" w:w="80"/>
              <w:right w:type="dxa" w:w="120"/>
            </w:tcMar>
          </w:tcPr>
          <w:p>
            <w:pPr>
              <w:jc w:val="center"/>
            </w:pPr>
            <w:r>
              <w:rPr>
                <w:rFonts w:ascii="Arial" w:cs="Arial" w:eastAsia="Arial" w:hAnsi="Arial"/>
                <w:b/>
                <w:bCs/>
                <w:i w:val="false"/>
                <w:iCs w:val="false"/>
                <w:color w:val="27500A"/>
                <w:sz w:val="16"/>
                <w:szCs w:val="16"/>
              </w:rPr>
              <w:t xml:space="preserve">LOW</w:t>
            </w:r>
          </w:p>
        </w:tc>
        <w:tc>
          <w:tcPr>
            <w:tcW w:type="dxa" w:w="950"/>
            <w:tcBorders>
              <w:top w:val="single" w:color="CCCCCC" w:sz="4"/>
              <w:left w:val="single" w:color="CCCCCC" w:sz="4"/>
              <w:bottom w:val="single" w:color="CCCCCC" w:sz="4"/>
              <w:right w:val="single" w:color="CCCCCC" w:sz="4"/>
            </w:tcBorders>
            <w:shd w:fill="FAECE7" w:val="clear"/>
            <w:tcMar>
              <w:top w:type="dxa" w:w="80"/>
              <w:left w:type="dxa" w:w="120"/>
              <w:bottom w:type="dxa" w:w="80"/>
              <w:right w:type="dxa" w:w="120"/>
            </w:tcMar>
          </w:tcPr>
          <w:p>
            <w:pPr>
              <w:jc w:val="center"/>
            </w:pPr>
            <w:r>
              <w:rPr>
                <w:rFonts w:ascii="Arial" w:cs="Arial" w:eastAsia="Arial" w:hAnsi="Arial"/>
                <w:b/>
                <w:bCs/>
                <w:i w:val="false"/>
                <w:iCs w:val="false"/>
                <w:color w:val="A32D2D"/>
                <w:sz w:val="16"/>
                <w:szCs w:val="16"/>
              </w:rPr>
              <w:t xml:space="preserve">No</w:t>
            </w:r>
          </w:p>
        </w:tc>
        <w:tc>
          <w:tcPr>
            <w:tcW w:type="dxa" w:w="333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7"/>
                <w:szCs w:val="17"/>
              </w:rPr>
              <w:t xml:space="preserve">Tile/grout specialty. Small footprint.</w:t>
            </w:r>
          </w:p>
        </w:tc>
      </w:tr>
      <w:tr>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i w:val="false"/>
                <w:iCs w:val="false"/>
                <w:sz w:val="17"/>
                <w:szCs w:val="17"/>
              </w:rPr>
              <w:t xml:space="preserve">Renew Crew</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7"/>
                <w:szCs w:val="17"/>
              </w:rPr>
              <w:t xml:space="preserve">Franchisee-choice — varies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7"/>
                <w:szCs w:val="17"/>
              </w:rPr>
              <w:t xml:space="preserve">Franchisee-paid</w:t>
            </w:r>
          </w:p>
        </w:tc>
        <w:tc>
          <w:tcPr>
            <w:tcW w:type="dxa" w:w="1100"/>
            <w:tcBorders>
              <w:top w:val="single" w:color="CCCCCC" w:sz="4"/>
              <w:left w:val="single" w:color="CCCCCC" w:sz="4"/>
              <w:bottom w:val="single" w:color="CCCCCC" w:sz="4"/>
              <w:right w:val="single" w:color="CCCCCC" w:sz="4"/>
            </w:tcBorders>
            <w:shd w:fill="EAF3DE" w:val="clear"/>
            <w:tcMar>
              <w:top w:type="dxa" w:w="80"/>
              <w:left w:type="dxa" w:w="120"/>
              <w:bottom w:type="dxa" w:w="80"/>
              <w:right w:type="dxa" w:w="120"/>
            </w:tcMar>
          </w:tcPr>
          <w:p>
            <w:pPr>
              <w:jc w:val="center"/>
            </w:pPr>
            <w:r>
              <w:rPr>
                <w:rFonts w:ascii="Arial" w:cs="Arial" w:eastAsia="Arial" w:hAnsi="Arial"/>
                <w:b/>
                <w:bCs/>
                <w:i w:val="false"/>
                <w:iCs w:val="false"/>
                <w:color w:val="27500A"/>
                <w:sz w:val="16"/>
                <w:szCs w:val="16"/>
              </w:rPr>
              <w:t xml:space="preserve">LOW</w:t>
            </w:r>
          </w:p>
        </w:tc>
        <w:tc>
          <w:tcPr>
            <w:tcW w:type="dxa" w:w="950"/>
            <w:tcBorders>
              <w:top w:val="single" w:color="CCCCCC" w:sz="4"/>
              <w:left w:val="single" w:color="CCCCCC" w:sz="4"/>
              <w:bottom w:val="single" w:color="CCCCCC" w:sz="4"/>
              <w:right w:val="single" w:color="CCCCCC" w:sz="4"/>
            </w:tcBorders>
            <w:shd w:fill="FAECE7" w:val="clear"/>
            <w:tcMar>
              <w:top w:type="dxa" w:w="80"/>
              <w:left w:type="dxa" w:w="120"/>
              <w:bottom w:type="dxa" w:w="80"/>
              <w:right w:type="dxa" w:w="120"/>
            </w:tcMar>
          </w:tcPr>
          <w:p>
            <w:pPr>
              <w:jc w:val="center"/>
            </w:pPr>
            <w:r>
              <w:rPr>
                <w:rFonts w:ascii="Arial" w:cs="Arial" w:eastAsia="Arial" w:hAnsi="Arial"/>
                <w:b/>
                <w:bCs/>
                <w:i w:val="false"/>
                <w:iCs w:val="false"/>
                <w:color w:val="A32D2D"/>
                <w:sz w:val="16"/>
                <w:szCs w:val="16"/>
              </w:rPr>
              <w:t xml:space="preserve">No</w:t>
            </w:r>
          </w:p>
        </w:tc>
        <w:tc>
          <w:tcPr>
            <w:tcW w:type="dxa" w:w="333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7"/>
                <w:szCs w:val="17"/>
              </w:rPr>
              <w:t xml:space="preserve">Outdoor cleaning. Small footprint.</w:t>
            </w:r>
          </w:p>
        </w:tc>
      </w:tr>
      <w:tr>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i w:val="false"/>
                <w:iCs w:val="false"/>
                <w:sz w:val="17"/>
                <w:szCs w:val="17"/>
              </w:rPr>
              <w:t xml:space="preserve">House Doctors</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7"/>
                <w:szCs w:val="17"/>
              </w:rPr>
              <w:t xml:space="preserve">Franchisee-choice — varies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7"/>
                <w:szCs w:val="17"/>
              </w:rPr>
              <w:t xml:space="preserve">Franchisee-paid</w:t>
            </w:r>
          </w:p>
        </w:tc>
        <w:tc>
          <w:tcPr>
            <w:tcW w:type="dxa" w:w="1100"/>
            <w:tcBorders>
              <w:top w:val="single" w:color="CCCCCC" w:sz="4"/>
              <w:left w:val="single" w:color="CCCCCC" w:sz="4"/>
              <w:bottom w:val="single" w:color="CCCCCC" w:sz="4"/>
              <w:right w:val="single" w:color="CCCCCC" w:sz="4"/>
            </w:tcBorders>
            <w:shd w:fill="EAF3DE" w:val="clear"/>
            <w:tcMar>
              <w:top w:type="dxa" w:w="80"/>
              <w:left w:type="dxa" w:w="120"/>
              <w:bottom w:type="dxa" w:w="80"/>
              <w:right w:type="dxa" w:w="120"/>
            </w:tcMar>
          </w:tcPr>
          <w:p>
            <w:pPr>
              <w:jc w:val="center"/>
            </w:pPr>
            <w:r>
              <w:rPr>
                <w:rFonts w:ascii="Arial" w:cs="Arial" w:eastAsia="Arial" w:hAnsi="Arial"/>
                <w:b/>
                <w:bCs/>
                <w:i w:val="false"/>
                <w:iCs w:val="false"/>
                <w:color w:val="27500A"/>
                <w:sz w:val="16"/>
                <w:szCs w:val="16"/>
              </w:rPr>
              <w:t xml:space="preserve">LOW</w:t>
            </w:r>
          </w:p>
        </w:tc>
        <w:tc>
          <w:tcPr>
            <w:tcW w:type="dxa" w:w="950"/>
            <w:tcBorders>
              <w:top w:val="single" w:color="CCCCCC" w:sz="4"/>
              <w:left w:val="single" w:color="CCCCCC" w:sz="4"/>
              <w:bottom w:val="single" w:color="CCCCCC" w:sz="4"/>
              <w:right w:val="single" w:color="CCCCCC" w:sz="4"/>
            </w:tcBorders>
            <w:shd w:fill="FAECE7" w:val="clear"/>
            <w:tcMar>
              <w:top w:type="dxa" w:w="80"/>
              <w:left w:type="dxa" w:w="120"/>
              <w:bottom w:type="dxa" w:w="80"/>
              <w:right w:type="dxa" w:w="120"/>
            </w:tcMar>
          </w:tcPr>
          <w:p>
            <w:pPr>
              <w:jc w:val="center"/>
            </w:pPr>
            <w:r>
              <w:rPr>
                <w:rFonts w:ascii="Arial" w:cs="Arial" w:eastAsia="Arial" w:hAnsi="Arial"/>
                <w:b/>
                <w:bCs/>
                <w:i w:val="false"/>
                <w:iCs w:val="false"/>
                <w:color w:val="A32D2D"/>
                <w:sz w:val="16"/>
                <w:szCs w:val="16"/>
              </w:rPr>
              <w:t xml:space="preserve">No</w:t>
            </w:r>
          </w:p>
        </w:tc>
        <w:tc>
          <w:tcPr>
            <w:tcW w:type="dxa" w:w="333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7"/>
                <w:szCs w:val="17"/>
              </w:rPr>
              <w:t xml:space="preserve">Handyman. Open.</w:t>
            </w:r>
          </w:p>
        </w:tc>
      </w:tr>
      <w:tr>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i w:val="false"/>
                <w:iCs w:val="false"/>
                <w:sz w:val="17"/>
                <w:szCs w:val="17"/>
              </w:rPr>
              <w:t xml:space="preserve">Window Gang</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7"/>
                <w:szCs w:val="17"/>
              </w:rPr>
              <w:t xml:space="preserve">Franchisee-choice — varies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7"/>
                <w:szCs w:val="17"/>
              </w:rPr>
              <w:t xml:space="preserve">Franchisee-paid</w:t>
            </w:r>
          </w:p>
        </w:tc>
        <w:tc>
          <w:tcPr>
            <w:tcW w:type="dxa" w:w="1100"/>
            <w:tcBorders>
              <w:top w:val="single" w:color="CCCCCC" w:sz="4"/>
              <w:left w:val="single" w:color="CCCCCC" w:sz="4"/>
              <w:bottom w:val="single" w:color="CCCCCC" w:sz="4"/>
              <w:right w:val="single" w:color="CCCCCC" w:sz="4"/>
            </w:tcBorders>
            <w:shd w:fill="EAF3DE" w:val="clear"/>
            <w:tcMar>
              <w:top w:type="dxa" w:w="80"/>
              <w:left w:type="dxa" w:w="120"/>
              <w:bottom w:type="dxa" w:w="80"/>
              <w:right w:type="dxa" w:w="120"/>
            </w:tcMar>
          </w:tcPr>
          <w:p>
            <w:pPr>
              <w:jc w:val="center"/>
            </w:pPr>
            <w:r>
              <w:rPr>
                <w:rFonts w:ascii="Arial" w:cs="Arial" w:eastAsia="Arial" w:hAnsi="Arial"/>
                <w:b/>
                <w:bCs/>
                <w:i w:val="false"/>
                <w:iCs w:val="false"/>
                <w:color w:val="27500A"/>
                <w:sz w:val="16"/>
                <w:szCs w:val="16"/>
              </w:rPr>
              <w:t xml:space="preserve">LOW</w:t>
            </w:r>
          </w:p>
        </w:tc>
        <w:tc>
          <w:tcPr>
            <w:tcW w:type="dxa" w:w="950"/>
            <w:tcBorders>
              <w:top w:val="single" w:color="CCCCCC" w:sz="4"/>
              <w:left w:val="single" w:color="CCCCCC" w:sz="4"/>
              <w:bottom w:val="single" w:color="CCCCCC" w:sz="4"/>
              <w:right w:val="single" w:color="CCCCCC" w:sz="4"/>
            </w:tcBorders>
            <w:shd w:fill="FAECE7" w:val="clear"/>
            <w:tcMar>
              <w:top w:type="dxa" w:w="80"/>
              <w:left w:type="dxa" w:w="120"/>
              <w:bottom w:type="dxa" w:w="80"/>
              <w:right w:type="dxa" w:w="120"/>
            </w:tcMar>
          </w:tcPr>
          <w:p>
            <w:pPr>
              <w:jc w:val="center"/>
            </w:pPr>
            <w:r>
              <w:rPr>
                <w:rFonts w:ascii="Arial" w:cs="Arial" w:eastAsia="Arial" w:hAnsi="Arial"/>
                <w:b/>
                <w:bCs/>
                <w:i w:val="false"/>
                <w:iCs w:val="false"/>
                <w:color w:val="A32D2D"/>
                <w:sz w:val="16"/>
                <w:szCs w:val="16"/>
              </w:rPr>
              <w:t xml:space="preserve">No</w:t>
            </w:r>
          </w:p>
        </w:tc>
        <w:tc>
          <w:tcPr>
            <w:tcW w:type="dxa" w:w="333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7"/>
                <w:szCs w:val="17"/>
              </w:rPr>
              <w:t xml:space="preserve">Window cleaning. Smaller brand.</w:t>
            </w:r>
          </w:p>
        </w:tc>
      </w:tr>
      <w:tr>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i w:val="false"/>
                <w:iCs w:val="false"/>
                <w:sz w:val="17"/>
                <w:szCs w:val="17"/>
              </w:rPr>
              <w:t xml:space="preserve">The Designery</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7"/>
                <w:szCs w:val="17"/>
              </w:rPr>
              <w:t xml:space="preserve">Franchisee-choice — varies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7"/>
                <w:szCs w:val="17"/>
              </w:rPr>
              <w:t xml:space="preserve">Franchisee-paid</w:t>
            </w:r>
          </w:p>
        </w:tc>
        <w:tc>
          <w:tcPr>
            <w:tcW w:type="dxa" w:w="1100"/>
            <w:tcBorders>
              <w:top w:val="single" w:color="CCCCCC" w:sz="4"/>
              <w:left w:val="single" w:color="CCCCCC" w:sz="4"/>
              <w:bottom w:val="single" w:color="CCCCCC" w:sz="4"/>
              <w:right w:val="single" w:color="CCCCCC" w:sz="4"/>
            </w:tcBorders>
            <w:shd w:fill="EAF3DE" w:val="clear"/>
            <w:tcMar>
              <w:top w:type="dxa" w:w="80"/>
              <w:left w:type="dxa" w:w="120"/>
              <w:bottom w:type="dxa" w:w="80"/>
              <w:right w:type="dxa" w:w="120"/>
            </w:tcMar>
          </w:tcPr>
          <w:p>
            <w:pPr>
              <w:jc w:val="center"/>
            </w:pPr>
            <w:r>
              <w:rPr>
                <w:rFonts w:ascii="Arial" w:cs="Arial" w:eastAsia="Arial" w:hAnsi="Arial"/>
                <w:b/>
                <w:bCs/>
                <w:i w:val="false"/>
                <w:iCs w:val="false"/>
                <w:color w:val="27500A"/>
                <w:sz w:val="16"/>
                <w:szCs w:val="16"/>
              </w:rPr>
              <w:t xml:space="preserve">LOW</w:t>
            </w:r>
          </w:p>
        </w:tc>
        <w:tc>
          <w:tcPr>
            <w:tcW w:type="dxa" w:w="950"/>
            <w:tcBorders>
              <w:top w:val="single" w:color="CCCCCC" w:sz="4"/>
              <w:left w:val="single" w:color="CCCCCC" w:sz="4"/>
              <w:bottom w:val="single" w:color="CCCCCC" w:sz="4"/>
              <w:right w:val="single" w:color="CCCCCC" w:sz="4"/>
            </w:tcBorders>
            <w:shd w:fill="FAECE7" w:val="clear"/>
            <w:tcMar>
              <w:top w:type="dxa" w:w="80"/>
              <w:left w:type="dxa" w:w="120"/>
              <w:bottom w:type="dxa" w:w="80"/>
              <w:right w:type="dxa" w:w="120"/>
            </w:tcMar>
          </w:tcPr>
          <w:p>
            <w:pPr>
              <w:jc w:val="center"/>
            </w:pPr>
            <w:r>
              <w:rPr>
                <w:rFonts w:ascii="Arial" w:cs="Arial" w:eastAsia="Arial" w:hAnsi="Arial"/>
                <w:b/>
                <w:bCs/>
                <w:i w:val="false"/>
                <w:iCs w:val="false"/>
                <w:color w:val="A32D2D"/>
                <w:sz w:val="16"/>
                <w:szCs w:val="16"/>
              </w:rPr>
              <w:t xml:space="preserve">No</w:t>
            </w:r>
          </w:p>
        </w:tc>
        <w:tc>
          <w:tcPr>
            <w:tcW w:type="dxa" w:w="333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7"/>
                <w:szCs w:val="17"/>
              </w:rPr>
              <w:t xml:space="preserve">Kitchen/bath design. Smaller emerging brand.</w:t>
            </w:r>
          </w:p>
        </w:tc>
      </w:tr>
      <w:tr>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i w:val="false"/>
                <w:iCs w:val="false"/>
                <w:sz w:val="17"/>
                <w:szCs w:val="17"/>
              </w:rPr>
              <w:t xml:space="preserve">Nesto (PSB's own)</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7"/>
                <w:szCs w:val="17"/>
              </w:rPr>
              <w:t xml:space="preserve">Customer loyalty platform — NOT FSM</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7"/>
                <w:szCs w:val="17"/>
              </w:rPr>
              <w:t xml:space="preserve">Franchisor product</w:t>
            </w:r>
          </w:p>
        </w:tc>
        <w:tc>
          <w:tcPr>
            <w:tcW w:type="dxa" w:w="11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Arial" w:cs="Arial" w:eastAsia="Arial" w:hAnsi="Arial"/>
                <w:b/>
                <w:bCs/>
                <w:i w:val="false"/>
                <w:iCs w:val="false"/>
                <w:color w:val="595959"/>
                <w:sz w:val="16"/>
                <w:szCs w:val="16"/>
              </w:rPr>
              <w:t xml:space="preserve">NOT FSM</w:t>
            </w:r>
          </w:p>
        </w:tc>
        <w:tc>
          <w:tcPr>
            <w:tcW w:type="dxa" w:w="950"/>
            <w:tcBorders>
              <w:top w:val="single" w:color="CCCCCC" w:sz="4"/>
              <w:left w:val="single" w:color="CCCCCC" w:sz="4"/>
              <w:bottom w:val="single" w:color="CCCCCC" w:sz="4"/>
              <w:right w:val="single" w:color="CCCCCC" w:sz="4"/>
            </w:tcBorders>
            <w:shd w:fill="FAECE7" w:val="clear"/>
            <w:tcMar>
              <w:top w:type="dxa" w:w="80"/>
              <w:left w:type="dxa" w:w="120"/>
              <w:bottom w:type="dxa" w:w="80"/>
              <w:right w:type="dxa" w:w="120"/>
            </w:tcMar>
          </w:tcPr>
          <w:p>
            <w:pPr>
              <w:jc w:val="center"/>
            </w:pPr>
            <w:r>
              <w:rPr>
                <w:rFonts w:ascii="Arial" w:cs="Arial" w:eastAsia="Arial" w:hAnsi="Arial"/>
                <w:b/>
                <w:bCs/>
                <w:i w:val="false"/>
                <w:iCs w:val="false"/>
                <w:color w:val="A32D2D"/>
                <w:sz w:val="16"/>
                <w:szCs w:val="16"/>
              </w:rPr>
              <w:t xml:space="preserve">No</w:t>
            </w:r>
          </w:p>
        </w:tc>
        <w:tc>
          <w:tcPr>
            <w:tcW w:type="dxa" w:w="333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7"/>
                <w:szCs w:val="17"/>
              </w:rPr>
              <w:t xml:space="preserve">I had Nesto wrong in earlier notes. Per Flick's own words, it's a customer loyalty play, not field service management. Corrected here.</w:t>
            </w:r>
          </w:p>
        </w:tc>
      </w:tr>
    </w:tbl>
    <w:p>
      <w:pPr>
        <w:spacing w:after="80" w:before="80"/>
      </w:pPr>
      <w:r>
        <w:rPr>
          <w:rFonts w:ascii="Arial" w:cs="Arial" w:eastAsia="Arial" w:hAnsi="Arial"/>
          <w:sz w:val="22"/>
          <w:szCs w:val="22"/>
        </w:rPr>
        <w:t xml:space="preserve"/>
      </w:r>
    </w:p>
    <w:p>
      <w:pPr>
        <w:spacing w:after="80" w:before="80"/>
      </w:pPr>
      <w:r>
        <w:rPr>
          <w:rFonts w:ascii="Arial" w:cs="Arial" w:eastAsia="Arial" w:hAnsi="Arial"/>
          <w:i/>
          <w:iCs/>
          <w:color w:val="888780"/>
          <w:sz w:val="22"/>
          <w:szCs w:val="22"/>
        </w:rPr>
        <w:t xml:space="preserve">Headwind shorthand: LOW = open territory · MEDIUM = displacement effort · HIGH = entrenched specialty · LOCKED = mandated incumbent · HARD CONFLICT = competing against existing GPSI partnership · OPPORTUNITY = potential integration angle · NOT FSM = different category, no conflict · TBD = headwind level not yet determined.</w:t>
      </w:r>
    </w:p>
    <w:p>
      <w:pPr>
        <w:pStyle w:val="Heading1"/>
        <w:spacing w:after="180" w:before="360"/>
      </w:pPr>
      <w:r>
        <w:rPr>
          <w:rFonts w:ascii="Arial" w:cs="Arial" w:eastAsia="Arial" w:hAnsi="Arial"/>
          <w:b/>
          <w:bCs/>
          <w:color w:val="1A2B3C"/>
          <w:sz w:val="32"/>
          <w:szCs w:val="32"/>
        </w:rPr>
        <w:t xml:space="preserve">📣 Marketing touches &amp; warm-up tactics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E8F4F4" w:val="clear"/>
            <w:tcMar>
              <w:top w:type="dxa" w:w="200"/>
              <w:left w:type="dxa" w:w="240"/>
              <w:bottom w:type="dxa" w:w="200"/>
              <w:right w:type="dxa" w:w="240"/>
            </w:tcMar>
          </w:tcPr>
          <w:p>
            <w:pPr>
              <w:spacing w:after="120"/>
            </w:pPr>
            <w:r>
              <w:rPr>
                <w:rFonts w:ascii="Arial" w:cs="Arial" w:eastAsia="Arial" w:hAnsi="Arial"/>
                <w:b/>
                <w:bCs/>
                <w:color w:val="1A2B3C"/>
                <w:sz w:val="24"/>
                <w:szCs w:val="24"/>
              </w:rPr>
              <w:t xml:space="preserve">Why this section exists</w:t>
            </w:r>
          </w:p>
          <w:p>
            <w:r>
              <w:rPr>
                <w:rFonts w:ascii="Arial" w:cs="Arial" w:eastAsia="Arial" w:hAnsi="Arial"/>
                <w:sz w:val="22"/>
                <w:szCs w:val="22"/>
              </w:rPr>
              <w:t xml:space="preserve">PE warm path is high-leverage but slow. We can't depend on KKR or Apax or MidOcean to schedule the meeting that gets us in. We need GPS Insight and ServiceBridge to be names franchisor leadership has heard before — multiple times, through multiple channels — by the time the warm path activates. This section is the framework for that. Marketing ownership sits with Marketing teammates; my read is here to give us a starting point.</w:t>
            </w:r>
          </w:p>
        </w:tc>
      </w:tr>
    </w:tbl>
    <w:p>
      <w:pPr>
        <w:pStyle w:val="Heading2"/>
        <w:spacing w:after="140" w:before="280"/>
      </w:pPr>
      <w:r>
        <w:rPr>
          <w:rFonts w:ascii="Arial" w:cs="Arial" w:eastAsia="Arial" w:hAnsi="Arial"/>
          <w:b/>
          <w:bCs/>
          <w:color w:val="185FA5"/>
          <w:sz w:val="26"/>
          <w:szCs w:val="26"/>
        </w:rPr>
        <w:t xml:space="preserve">The framework — 7 channels we should be working in parallel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4"/>
              <w:left w:val="single" w:color="CCCCCC" w:sz="4"/>
              <w:bottom w:val="single" w:color="CCCCCC" w:sz="4"/>
              <w:right w:val="single" w:color="CCCCCC" w:sz="4"/>
            </w:tcBorders>
            <w:shd w:fill="1A2B3C"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Channel</w:t>
            </w:r>
          </w:p>
        </w:tc>
        <w:tc>
          <w:tcPr>
            <w:tcW w:type="dxa" w:w="6960"/>
            <w:tcBorders>
              <w:top w:val="single" w:color="CCCCCC" w:sz="4"/>
              <w:left w:val="single" w:color="CCCCCC" w:sz="4"/>
              <w:bottom w:val="single" w:color="CCCCCC" w:sz="4"/>
              <w:right w:val="single" w:color="CCCCCC" w:sz="4"/>
            </w:tcBorders>
            <w:shd w:fill="1A2B3C"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What it does for us</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bCs/>
                <w:i w:val="false"/>
                <w:iCs w:val="false"/>
                <w:sz w:val="20"/>
                <w:szCs w:val="20"/>
              </w:rPr>
              <w:t xml:space="preserve">Event presence</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Show up where they show up. IFA Annual, franchisor annual conventions, vertical-specific industry events. Booth, sponsorship, or attendee — physical proximity matters.</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bCs/>
                <w:i w:val="false"/>
                <w:iCs w:val="false"/>
                <w:sz w:val="20"/>
                <w:szCs w:val="20"/>
              </w:rPr>
              <w:t xml:space="preserve">LinkedIn engagement</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Authentic, sustained engagement with executive content. Not spammy comments — real engagement that demonstrates we understand their business. Build name recognition over months, not weeks.</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bCs/>
                <w:i w:val="false"/>
                <w:iCs w:val="false"/>
                <w:sz w:val="20"/>
                <w:szCs w:val="20"/>
              </w:rPr>
              <w:t xml:space="preserve">Challenge coin / branded touch</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Tasteful, deliberate physical touches sent with personal notes. Not mass mailers — hand-delivered or hand-mailed to named executives. Signals 'we built something we care about,' not 'we want to sell you something.'</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bCs/>
                <w:i w:val="false"/>
                <w:iCs w:val="false"/>
                <w:sz w:val="20"/>
                <w:szCs w:val="20"/>
              </w:rPr>
              <w:t xml:space="preserve">Press / earned media</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Get GPS Insight + ServiceBridge into franchise industry publications they read. Franchise Times, Franchise Update, Entrepreneur Franchise, FranchiseWire. Plus vertical-specific trade press for franchisee-level reach.</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bCs/>
                <w:i w:val="false"/>
                <w:iCs w:val="false"/>
                <w:sz w:val="20"/>
                <w:szCs w:val="20"/>
              </w:rPr>
              <w:t xml:space="preserve">Mutual connections</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Map who in our combined networks already touches their network. Mutual LinkedIn connections, ex-colleagues, industry friends. Quietly identify warm second-degree paths to executives.</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bCs/>
                <w:i w:val="false"/>
                <w:iCs w:val="false"/>
                <w:sz w:val="20"/>
                <w:szCs w:val="20"/>
              </w:rPr>
              <w:t xml:space="preserve">Inbound franchisee signal</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If a franchisee inquires about ServiceBridge, that signal travels back upstream. Franchisee-level adoption creates pull at the franchisor level. We track these and use them deliberately.</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bCs/>
                <w:i w:val="false"/>
                <w:iCs w:val="false"/>
                <w:sz w:val="20"/>
                <w:szCs w:val="20"/>
              </w:rPr>
              <w:t xml:space="preserve">Sponsorships</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Strategic sponsorship of franchisor events, IFA tracks, vertical conferences where target executives are speaking. Visibility plus credibility plus the chance to host a meeting on-site.</w:t>
            </w:r>
          </w:p>
        </w:tc>
      </w:tr>
    </w:tbl>
    <w:p>
      <w:pPr>
        <w:pStyle w:val="Heading2"/>
        <w:spacing w:after="140" w:before="280"/>
      </w:pPr>
      <w:r>
        <w:rPr>
          <w:rFonts w:ascii="Arial" w:cs="Arial" w:eastAsia="Arial" w:hAnsi="Arial"/>
          <w:b/>
          <w:bCs/>
          <w:color w:val="185FA5"/>
          <w:sz w:val="26"/>
          <w:szCs w:val="26"/>
        </w:rPr>
        <w:t xml:space="preserve">What I see for PSB specifically</w:t>
      </w:r>
    </w:p>
    <w:p>
      <w:pPr>
        <w:spacing w:after="100" w:before="200"/>
      </w:pPr>
      <w:r>
        <w:rPr>
          <w:rFonts w:ascii="Arial" w:cs="Arial" w:eastAsia="Arial" w:hAnsi="Arial"/>
          <w:b/>
          <w:bCs/>
          <w:color w:val="1A2B3C"/>
          <w:sz w:val="22"/>
          <w:szCs w:val="22"/>
        </w:rPr>
        <w:t xml:space="preserve">Past events — what we can learn</w:t>
      </w:r>
    </w:p>
    <w:p>
      <w:pPr>
        <w:spacing w:after="80" w:before="80"/>
      </w:pPr>
      <w:r>
        <w:rPr>
          <w:rFonts w:ascii="Arial" w:cs="Arial" w:eastAsia="Arial" w:hAnsi="Arial"/>
          <w:sz w:val="22"/>
          <w:szCs w:val="22"/>
        </w:rPr>
        <w:t xml:space="preserve">If an event already happened, it's no longer an engagement priority. But we can still mine it for intel — vendor lists, recognized franchisees, leadership themes, who spoke on what.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680"/>
        <w:gridCol w:w="2680"/>
      </w:tblGrid>
      <w:tr>
        <w:trPr>
          <w:tblHeader/>
        </w:trPr>
        <w:tc>
          <w:tcPr>
            <w:tcW w:type="dxa" w:w="2400"/>
            <w:tcBorders>
              <w:top w:val="single" w:color="CCCCCC" w:sz="4"/>
              <w:left w:val="single" w:color="CCCCCC" w:sz="4"/>
              <w:bottom w:val="single" w:color="CCCCCC" w:sz="4"/>
              <w:right w:val="single" w:color="CCCCCC" w:sz="4"/>
            </w:tcBorders>
            <w:shd w:fill="1A2B3C"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Event</w:t>
            </w:r>
          </w:p>
        </w:tc>
        <w:tc>
          <w:tcPr>
            <w:tcW w:type="dxa" w:w="1600"/>
            <w:tcBorders>
              <w:top w:val="single" w:color="CCCCCC" w:sz="4"/>
              <w:left w:val="single" w:color="CCCCCC" w:sz="4"/>
              <w:bottom w:val="single" w:color="CCCCCC" w:sz="4"/>
              <w:right w:val="single" w:color="CCCCCC" w:sz="4"/>
            </w:tcBorders>
            <w:shd w:fill="1A2B3C"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When</w:t>
            </w:r>
          </w:p>
        </w:tc>
        <w:tc>
          <w:tcPr>
            <w:tcW w:type="dxa" w:w="2680"/>
            <w:tcBorders>
              <w:top w:val="single" w:color="CCCCCC" w:sz="4"/>
              <w:left w:val="single" w:color="CCCCCC" w:sz="4"/>
              <w:bottom w:val="single" w:color="CCCCCC" w:sz="4"/>
              <w:right w:val="single" w:color="CCCCCC" w:sz="4"/>
            </w:tcBorders>
            <w:shd w:fill="1A2B3C"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Context</w:t>
            </w:r>
          </w:p>
        </w:tc>
        <w:tc>
          <w:tcPr>
            <w:tcW w:type="dxa" w:w="2680"/>
            <w:tcBorders>
              <w:top w:val="single" w:color="CCCCCC" w:sz="4"/>
              <w:left w:val="single" w:color="CCCCCC" w:sz="4"/>
              <w:bottom w:val="single" w:color="CCCCCC" w:sz="4"/>
              <w:right w:val="single" w:color="CCCCCC" w:sz="4"/>
            </w:tcBorders>
            <w:shd w:fill="1A2B3C"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What we should look for</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i w:val="false"/>
                <w:iCs w:val="false"/>
                <w:sz w:val="17"/>
                <w:szCs w:val="17"/>
              </w:rPr>
              <w:t xml:space="preserve">IFA Annual Convention 2026</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iCs/>
                <w:sz w:val="17"/>
                <w:szCs w:val="17"/>
              </w:rPr>
              <w:t xml:space="preserve">Feb 22-25 2026, Las Vegas</w:t>
            </w:r>
          </w:p>
        </w:tc>
        <w:tc>
          <w:tcPr>
            <w:tcW w:type="dxa" w:w="2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7"/>
                <w:szCs w:val="17"/>
              </w:rPr>
              <w:t xml:space="preserve">Paul Flick has IFA visibility.</w:t>
            </w:r>
          </w:p>
        </w:tc>
        <w:tc>
          <w:tcPr>
            <w:tcW w:type="dxa" w:w="26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i w:val="false"/>
                <w:iCs w:val="false"/>
                <w:sz w:val="17"/>
                <w:szCs w:val="17"/>
              </w:rPr>
              <w:t xml:space="preserve">Confirm whether Flick, Conrad, or Nellen attended/spoke. Look for any signals on the 'pilot tech' they're testing.</w:t>
            </w:r>
          </w:p>
        </w:tc>
      </w:tr>
    </w:tbl>
    <w:p>
      <w:pPr>
        <w:spacing w:after="80" w:before="80"/>
      </w:pPr>
      <w:r>
        <w:rPr>
          <w:rFonts w:ascii="Arial" w:cs="Arial" w:eastAsia="Arial" w:hAnsi="Arial"/>
          <w:sz w:val="22"/>
          <w:szCs w:val="22"/>
        </w:rPr>
        <w:t xml:space="preserve"/>
      </w:r>
    </w:p>
    <w:p>
      <w:pPr>
        <w:spacing w:after="100" w:before="200"/>
      </w:pPr>
      <w:r>
        <w:rPr>
          <w:rFonts w:ascii="Arial" w:cs="Arial" w:eastAsia="Arial" w:hAnsi="Arial"/>
          <w:b/>
          <w:bCs/>
          <w:color w:val="1A2B3C"/>
          <w:sz w:val="22"/>
          <w:szCs w:val="22"/>
        </w:rPr>
        <w:t xml:space="preserve">Upcoming events — where to engage</w:t>
      </w:r>
    </w:p>
    <w:p>
      <w:pPr>
        <w:spacing w:after="80" w:before="80"/>
      </w:pPr>
      <w:r>
        <w:rPr>
          <w:rFonts w:ascii="Arial" w:cs="Arial" w:eastAsia="Arial" w:hAnsi="Arial"/>
          <w:sz w:val="22"/>
          <w:szCs w:val="22"/>
        </w:rPr>
        <w:t xml:space="preserve">Where executives will be in the next 12 months. These are the actual engagement opportunities.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3560"/>
        <w:gridCol w:w="1200"/>
      </w:tblGrid>
      <w:tr>
        <w:trPr>
          <w:tblHeader/>
        </w:trPr>
        <w:tc>
          <w:tcPr>
            <w:tcW w:type="dxa" w:w="2800"/>
            <w:tcBorders>
              <w:top w:val="single" w:color="CCCCCC" w:sz="4"/>
              <w:left w:val="single" w:color="CCCCCC" w:sz="4"/>
              <w:bottom w:val="single" w:color="CCCCCC" w:sz="4"/>
              <w:right w:val="single" w:color="CCCCCC" w:sz="4"/>
            </w:tcBorders>
            <w:shd w:fill="1A2B3C"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Event</w:t>
            </w:r>
          </w:p>
        </w:tc>
        <w:tc>
          <w:tcPr>
            <w:tcW w:type="dxa" w:w="1800"/>
            <w:tcBorders>
              <w:top w:val="single" w:color="CCCCCC" w:sz="4"/>
              <w:left w:val="single" w:color="CCCCCC" w:sz="4"/>
              <w:bottom w:val="single" w:color="CCCCCC" w:sz="4"/>
              <w:right w:val="single" w:color="CCCCCC" w:sz="4"/>
            </w:tcBorders>
            <w:shd w:fill="1A2B3C"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When</w:t>
            </w:r>
          </w:p>
        </w:tc>
        <w:tc>
          <w:tcPr>
            <w:tcW w:type="dxa" w:w="3560"/>
            <w:tcBorders>
              <w:top w:val="single" w:color="CCCCCC" w:sz="4"/>
              <w:left w:val="single" w:color="CCCCCC" w:sz="4"/>
              <w:bottom w:val="single" w:color="CCCCCC" w:sz="4"/>
              <w:right w:val="single" w:color="CCCCCC" w:sz="4"/>
            </w:tcBorders>
            <w:shd w:fill="1A2B3C"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Why it matters</w:t>
            </w:r>
          </w:p>
        </w:tc>
        <w:tc>
          <w:tcPr>
            <w:tcW w:type="dxa" w:w="1200"/>
            <w:tcBorders>
              <w:top w:val="single" w:color="CCCCCC" w:sz="4"/>
              <w:left w:val="single" w:color="CCCCCC" w:sz="4"/>
              <w:bottom w:val="single" w:color="CCCCCC" w:sz="4"/>
              <w:right w:val="single" w:color="CCCCCC" w:sz="4"/>
            </w:tcBorders>
            <w:shd w:fill="1A2B3C"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Priority</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i w:val="false"/>
                <w:iCs w:val="false"/>
                <w:sz w:val="17"/>
                <w:szCs w:val="17"/>
              </w:rPr>
              <w:t xml:space="preserve">Service World Expo 2026</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iCs/>
                <w:sz w:val="17"/>
                <w:szCs w:val="17"/>
              </w:rPr>
              <w:t xml:space="preserve">November 9-12, 2026 — Caesars Forum, Las Vegas</w:t>
            </w:r>
          </w:p>
        </w:tc>
        <w:tc>
          <w:tcPr>
            <w:tcW w:type="dxa" w:w="3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7"/>
                <w:szCs w:val="17"/>
              </w:rPr>
              <w:t xml:space="preserve">10,000+ residential contractors including plumbing operators. Best non-franchisor event for RooterMan operator outreach (70% of PSB network). ServiceBridge booth + targeted franchisee conversations.</w:t>
            </w:r>
          </w:p>
        </w:tc>
        <w:tc>
          <w:tcPr>
            <w:tcW w:type="dxa" w:w="1200"/>
            <w:tcBorders>
              <w:top w:val="single" w:color="CCCCCC" w:sz="4"/>
              <w:left w:val="single" w:color="CCCCCC" w:sz="4"/>
              <w:bottom w:val="single" w:color="CCCCCC" w:sz="4"/>
              <w:right w:val="single" w:color="CCCCCC" w:sz="4"/>
            </w:tcBorders>
            <w:shd w:fill="EAF3DE" w:val="clear"/>
            <w:tcMar>
              <w:top w:type="dxa" w:w="80"/>
              <w:left w:type="dxa" w:w="120"/>
              <w:bottom w:type="dxa" w:w="80"/>
              <w:right w:type="dxa" w:w="120"/>
            </w:tcMar>
          </w:tcPr>
          <w:p>
            <w:pPr>
              <w:jc w:val="center"/>
            </w:pPr>
            <w:r>
              <w:rPr>
                <w:rFonts w:ascii="Arial" w:cs="Arial" w:eastAsia="Arial" w:hAnsi="Arial"/>
                <w:b/>
                <w:bCs/>
                <w:i w:val="false"/>
                <w:iCs w:val="false"/>
                <w:color w:val="27500A"/>
                <w:sz w:val="15"/>
                <w:szCs w:val="15"/>
              </w:rPr>
              <w:t xml:space="preserve">PRIORITY 1</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i w:val="false"/>
                <w:iCs w:val="false"/>
                <w:sz w:val="17"/>
                <w:szCs w:val="17"/>
              </w:rPr>
              <w:t xml:space="preserve">PHCC CONNECT 2026</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iCs/>
                <w:sz w:val="17"/>
                <w:szCs w:val="17"/>
              </w:rPr>
              <w:t xml:space="preserve">October 19-22, 2026 — Hilton Milwaukee City Center</w:t>
            </w:r>
          </w:p>
        </w:tc>
        <w:tc>
          <w:tcPr>
            <w:tcW w:type="dxa" w:w="3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7"/>
                <w:szCs w:val="17"/>
              </w:rPr>
              <w:t xml:space="preserve">Plumbing-Heating-Cooling Contractors Association. RooterMan operators attend. Vertical-specific channel into the franchisee base.</w:t>
            </w:r>
          </w:p>
        </w:tc>
        <w:tc>
          <w:tcPr>
            <w:tcW w:type="dxa" w:w="1200"/>
            <w:tcBorders>
              <w:top w:val="single" w:color="CCCCCC" w:sz="4"/>
              <w:left w:val="single" w:color="CCCCCC" w:sz="4"/>
              <w:bottom w:val="single" w:color="CCCCCC" w:sz="4"/>
              <w:right w:val="single" w:color="CCCCCC" w:sz="4"/>
            </w:tcBorders>
            <w:shd w:fill="EAF3DE" w:val="clear"/>
            <w:tcMar>
              <w:top w:type="dxa" w:w="80"/>
              <w:left w:type="dxa" w:w="120"/>
              <w:bottom w:type="dxa" w:w="80"/>
              <w:right w:type="dxa" w:w="120"/>
            </w:tcMar>
          </w:tcPr>
          <w:p>
            <w:pPr>
              <w:jc w:val="center"/>
            </w:pPr>
            <w:r>
              <w:rPr>
                <w:rFonts w:ascii="Arial" w:cs="Arial" w:eastAsia="Arial" w:hAnsi="Arial"/>
                <w:b/>
                <w:bCs/>
                <w:i w:val="false"/>
                <w:iCs w:val="false"/>
                <w:color w:val="27500A"/>
                <w:sz w:val="15"/>
                <w:szCs w:val="15"/>
              </w:rPr>
              <w:t xml:space="preserve">PRIORITY 1</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i w:val="false"/>
                <w:iCs w:val="false"/>
                <w:sz w:val="17"/>
                <w:szCs w:val="17"/>
              </w:rPr>
              <w:t xml:space="preserve">Multi-Unit Franchising Conference 2027</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iCs/>
                <w:sz w:val="17"/>
                <w:szCs w:val="17"/>
              </w:rPr>
              <w:t xml:space="preserve">April 26-29, 2027 — Caesars Forum, Las Vegas</w:t>
            </w:r>
          </w:p>
        </w:tc>
        <w:tc>
          <w:tcPr>
            <w:tcW w:type="dxa" w:w="3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7"/>
                <w:szCs w:val="17"/>
              </w:rPr>
              <w:t xml:space="preserve">Multi-unit RooterMan operators (some have 5-10+ territories) attend. Better entry than franchisor-level given PSB's financial distress.</w:t>
            </w:r>
          </w:p>
        </w:tc>
        <w:tc>
          <w:tcPr>
            <w:tcW w:type="dxa" w:w="1200"/>
            <w:tcBorders>
              <w:top w:val="single" w:color="CCCCCC" w:sz="4"/>
              <w:left w:val="single" w:color="CCCCCC" w:sz="4"/>
              <w:bottom w:val="single" w:color="CCCCCC" w:sz="4"/>
              <w:right w:val="single" w:color="CCCCCC" w:sz="4"/>
            </w:tcBorders>
            <w:shd w:fill="EAF3DE" w:val="clear"/>
            <w:tcMar>
              <w:top w:type="dxa" w:w="80"/>
              <w:left w:type="dxa" w:w="120"/>
              <w:bottom w:type="dxa" w:w="80"/>
              <w:right w:type="dxa" w:w="120"/>
            </w:tcMar>
          </w:tcPr>
          <w:p>
            <w:pPr>
              <w:jc w:val="center"/>
            </w:pPr>
            <w:r>
              <w:rPr>
                <w:rFonts w:ascii="Arial" w:cs="Arial" w:eastAsia="Arial" w:hAnsi="Arial"/>
                <w:b/>
                <w:bCs/>
                <w:i w:val="false"/>
                <w:iCs w:val="false"/>
                <w:color w:val="27500A"/>
                <w:sz w:val="15"/>
                <w:szCs w:val="15"/>
              </w:rPr>
              <w:t xml:space="preserve">PRIORITY 1</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i w:val="false"/>
                <w:iCs w:val="false"/>
                <w:sz w:val="17"/>
                <w:szCs w:val="17"/>
              </w:rPr>
              <w:t xml:space="preserve">PCA EXPO 2027</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iCs/>
                <w:sz w:val="17"/>
                <w:szCs w:val="17"/>
              </w:rPr>
              <w:t xml:space="preserve">Feb 16-20, 2027 — New Orleans, LA</w:t>
            </w:r>
          </w:p>
        </w:tc>
        <w:tc>
          <w:tcPr>
            <w:tcW w:type="dxa" w:w="3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7"/>
                <w:szCs w:val="17"/>
              </w:rPr>
              <w:t xml:space="preserve">360 Painting franchisees attend. Vertical-specific channel.</w:t>
            </w:r>
          </w:p>
        </w:tc>
        <w:tc>
          <w:tcPr>
            <w:tcW w:type="dxa" w:w="1200"/>
            <w:tcBorders>
              <w:top w:val="single" w:color="CCCCCC" w:sz="4"/>
              <w:left w:val="single" w:color="CCCCCC" w:sz="4"/>
              <w:bottom w:val="single" w:color="CCCCCC" w:sz="4"/>
              <w:right w:val="single" w:color="CCCCCC" w:sz="4"/>
            </w:tcBorders>
            <w:shd w:fill="FFF8E1" w:val="clear"/>
            <w:tcMar>
              <w:top w:type="dxa" w:w="80"/>
              <w:left w:type="dxa" w:w="120"/>
              <w:bottom w:type="dxa" w:w="80"/>
              <w:right w:type="dxa" w:w="120"/>
            </w:tcMar>
          </w:tcPr>
          <w:p>
            <w:pPr>
              <w:jc w:val="center"/>
            </w:pPr>
            <w:r>
              <w:rPr>
                <w:rFonts w:ascii="Arial" w:cs="Arial" w:eastAsia="Arial" w:hAnsi="Arial"/>
                <w:b/>
                <w:bCs/>
                <w:i w:val="false"/>
                <w:iCs w:val="false"/>
                <w:color w:val="6B5500"/>
                <w:sz w:val="15"/>
                <w:szCs w:val="15"/>
              </w:rPr>
              <w:t xml:space="preserve">PRIORITY 2</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i w:val="false"/>
                <w:iCs w:val="false"/>
                <w:sz w:val="17"/>
                <w:szCs w:val="17"/>
              </w:rPr>
              <w:t xml:space="preserve">IFA Annual Convention 2027</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iCs/>
                <w:sz w:val="17"/>
                <w:szCs w:val="17"/>
              </w:rPr>
              <w:t xml:space="preserve">Feb 22-24, 2027 — Mandalay Bay, Las Vegas</w:t>
            </w:r>
          </w:p>
        </w:tc>
        <w:tc>
          <w:tcPr>
            <w:tcW w:type="dxa" w:w="3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7"/>
                <w:szCs w:val="17"/>
              </w:rPr>
              <w:t xml:space="preserve">Flick (CEO) typical attendee. Watch for any signals on PSB's pilot tech vendor identity.</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Arial" w:cs="Arial" w:eastAsia="Arial" w:hAnsi="Arial"/>
                <w:b/>
                <w:bCs/>
                <w:i w:val="false"/>
                <w:iCs w:val="false"/>
                <w:color w:val="595959"/>
                <w:sz w:val="15"/>
                <w:szCs w:val="15"/>
              </w:rPr>
              <w:t xml:space="preserve">STANDARD</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i w:val="false"/>
                <w:iCs w:val="false"/>
                <w:sz w:val="17"/>
                <w:szCs w:val="17"/>
              </w:rPr>
              <w:t xml:space="preserve">Franchise Leadership &amp; Development Conference 2026</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iCs/>
                <w:sz w:val="17"/>
                <w:szCs w:val="17"/>
              </w:rPr>
              <w:t xml:space="preserve">October 6-8, 2026 — InterContinental, Atlanta</w:t>
            </w:r>
          </w:p>
        </w:tc>
        <w:tc>
          <w:tcPr>
            <w:tcW w:type="dxa" w:w="3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7"/>
                <w:szCs w:val="17"/>
              </w:rPr>
              <w:t xml:space="preserve">Standard franchise development presence. Good intel-gathering on PSB's growth narrative given financial distress.</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Arial" w:cs="Arial" w:eastAsia="Arial" w:hAnsi="Arial"/>
                <w:b/>
                <w:bCs/>
                <w:i w:val="false"/>
                <w:iCs w:val="false"/>
                <w:color w:val="595959"/>
                <w:sz w:val="15"/>
                <w:szCs w:val="15"/>
              </w:rPr>
              <w:t xml:space="preserve">STANDARD</w:t>
            </w:r>
          </w:p>
        </w:tc>
      </w:tr>
    </w:tbl>
    <w:p>
      <w:pPr>
        <w:spacing w:after="80" w:before="80"/>
      </w:pPr>
      <w:r>
        <w:rPr>
          <w:rFonts w:ascii="Arial" w:cs="Arial" w:eastAsia="Arial" w:hAnsi="Arial"/>
          <w:sz w:val="22"/>
          <w:szCs w:val="22"/>
        </w:rPr>
        <w:t xml:space="preserve"/>
      </w:r>
    </w:p>
    <w:p>
      <w:pPr>
        <w:spacing w:after="100" w:before="200"/>
      </w:pPr>
      <w:r>
        <w:rPr>
          <w:rFonts w:ascii="Arial" w:cs="Arial" w:eastAsia="Arial" w:hAnsi="Arial"/>
          <w:b/>
          <w:bCs/>
          <w:color w:val="1A2B3C"/>
          <w:sz w:val="22"/>
          <w:szCs w:val="22"/>
        </w:rPr>
        <w:t xml:space="preserve">Executives to track</w:t>
      </w:r>
    </w:p>
    <w:p>
      <w:pPr>
        <w:spacing w:after="80" w:before="80"/>
      </w:pPr>
      <w:r>
        <w:rPr>
          <w:rFonts w:ascii="Arial" w:cs="Arial" w:eastAsia="Arial" w:hAnsi="Arial"/>
          <w:sz w:val="22"/>
          <w:szCs w:val="22"/>
        </w:rPr>
        <w:t xml:space="preserve">Where these executives speak, post, or appear publicly is a signal. We track their calendars and look for natural touchpoint opportunities.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1A2B3C"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Executive</w:t>
            </w:r>
          </w:p>
        </w:tc>
        <w:tc>
          <w:tcPr>
            <w:tcW w:type="dxa" w:w="6360"/>
            <w:tcBorders>
              <w:top w:val="single" w:color="CCCCCC" w:sz="4"/>
              <w:left w:val="single" w:color="CCCCCC" w:sz="4"/>
              <w:bottom w:val="single" w:color="CCCCCC" w:sz="4"/>
              <w:right w:val="single" w:color="CCCCCC" w:sz="4"/>
            </w:tcBorders>
            <w:shd w:fill="1A2B3C"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Why we track them</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i w:val="false"/>
                <w:iCs w:val="false"/>
                <w:sz w:val="20"/>
                <w:szCs w:val="20"/>
              </w:rPr>
              <w:t xml:space="preserve">Paul Flick (CEO/Founder)</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IFA presence. Active in franchise industry media.</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i w:val="false"/>
                <w:iCs w:val="false"/>
                <w:sz w:val="20"/>
                <w:szCs w:val="20"/>
              </w:rPr>
              <w:t xml:space="preserve">Roxanne Conrad (COO)</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Women We Admire 2025 list. Building public profile.</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i w:val="false"/>
                <w:iCs w:val="false"/>
                <w:sz w:val="20"/>
                <w:szCs w:val="20"/>
              </w:rPr>
              <w:t xml:space="preserve">Vivi Nellen (VP)</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Franchise development conference visibility.</w:t>
            </w:r>
          </w:p>
        </w:tc>
      </w:tr>
    </w:tbl>
    <w:p>
      <w:pPr>
        <w:spacing w:after="100" w:before="200"/>
      </w:pPr>
      <w:r>
        <w:rPr>
          <w:rFonts w:ascii="Arial" w:cs="Arial" w:eastAsia="Arial" w:hAnsi="Arial"/>
          <w:b/>
          <w:bCs/>
          <w:color w:val="1A2B3C"/>
          <w:sz w:val="22"/>
          <w:szCs w:val="22"/>
        </w:rPr>
        <w:t xml:space="preserve">Specific tactics by channel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4"/>
              <w:left w:val="single" w:color="CCCCCC" w:sz="4"/>
              <w:bottom w:val="single" w:color="CCCCCC" w:sz="4"/>
              <w:right w:val="single" w:color="CCCCCC" w:sz="4"/>
            </w:tcBorders>
            <w:shd w:fill="1A2B3C"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Channel</w:t>
            </w:r>
          </w:p>
        </w:tc>
        <w:tc>
          <w:tcPr>
            <w:tcW w:type="dxa" w:w="6960"/>
            <w:tcBorders>
              <w:top w:val="single" w:color="CCCCCC" w:sz="4"/>
              <w:left w:val="single" w:color="CCCCCC" w:sz="4"/>
              <w:bottom w:val="single" w:color="CCCCCC" w:sz="4"/>
              <w:right w:val="single" w:color="CCCCCC" w:sz="4"/>
            </w:tcBorders>
            <w:shd w:fill="1A2B3C"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My read for PSB</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bCs/>
                <w:i w:val="false"/>
                <w:iCs w:val="false"/>
                <w:sz w:val="20"/>
                <w:szCs w:val="20"/>
              </w:rPr>
              <w:t xml:space="preserve">LinkedIn</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Engage with Conrad and Nellen content. Avoid leaning too heavily on franchisor-level economics given financial distress — emphasize franchisee retention and unit-level economics.</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bCs/>
                <w:i w:val="false"/>
                <w:iCs w:val="false"/>
                <w:sz w:val="20"/>
                <w:szCs w:val="20"/>
              </w:rPr>
              <w:t xml:space="preserve">Press / earned media</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Franchisee-level case study in plumbing trade publications (Plumbing &amp; Mechanical, Contractor Magazine). Reach RooterMan franchisees directly through their trade channels.</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bCs/>
                <w:i w:val="false"/>
                <w:iCs w:val="false"/>
                <w:sz w:val="20"/>
                <w:szCs w:val="20"/>
              </w:rPr>
              <w:t xml:space="preserve">Challenge coin / branded</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Lower-fit at franchisor level given financial dynamics. Better fit at franchisee level with RooterMan multi-territory operators.</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bCs/>
                <w:i w:val="false"/>
                <w:iCs w:val="false"/>
                <w:sz w:val="20"/>
                <w:szCs w:val="20"/>
              </w:rPr>
              <w:t xml:space="preserve">Inbound franchisee signal</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RooterMan operators (720-750 locations) are the volume play. Plumbing trade vertical = high franchisee receptivity to FSM tools that improve unit economics. Most powerful inbound channel.</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bCs/>
                <w:i w:val="false"/>
                <w:iCs w:val="false"/>
                <w:sz w:val="20"/>
                <w:szCs w:val="20"/>
              </w:rPr>
              <w:t xml:space="preserve">Mutual connection mapping</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Susquehanna network, plumbing industry connections, franchise industry community. Marketing teammates likely has direct RooterMan/360 Painting/ProLift franchisee touchpoints today.</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FF8E1" w:val="clear"/>
            <w:tcMar>
              <w:top w:type="dxa" w:w="200"/>
              <w:left w:type="dxa" w:w="240"/>
              <w:bottom w:type="dxa" w:w="200"/>
              <w:right w:type="dxa" w:w="240"/>
            </w:tcMar>
          </w:tcPr>
          <w:p>
            <w:pPr>
              <w:spacing w:after="120"/>
            </w:pPr>
            <w:r>
              <w:rPr>
                <w:rFonts w:ascii="Arial" w:cs="Arial" w:eastAsia="Arial" w:hAnsi="Arial"/>
                <w:b/>
                <w:bCs/>
                <w:color w:val="1A2B3C"/>
                <w:sz w:val="24"/>
                <w:szCs w:val="24"/>
              </w:rPr>
              <w:t xml:space="preserve">What I'd land for marketing</w:t>
            </w:r>
          </w:p>
          <w:p>
            <w:r>
              <w:rPr>
                <w:rFonts w:ascii="Arial" w:cs="Arial" w:eastAsia="Arial" w:hAnsi="Arial"/>
                <w:sz w:val="22"/>
                <w:szCs w:val="22"/>
              </w:rPr>
              <w:t xml:space="preserve">Marketing teammates owns marketing execution. My read is we should be running 3-4 of these channels at any given time across each P1 — not all 7 channels for every target. The framework helps us pick the right combination given the warm path status, the engagement window, and what we already know about each franchisor's culture.</w:t>
            </w:r>
          </w:p>
        </w:tc>
      </w:tr>
    </w:tbl>
    <w:p>
      <w:pPr>
        <w:pBdr>
          <w:bottom w:val="single" w:color="185FA5" w:sz="6" w:space="1"/>
        </w:pBdr>
        <w:spacing w:after="120" w:before="120"/>
      </w:pPr>
    </w:p>
    <w:p>
      <w:pPr>
        <w:pStyle w:val="Heading1"/>
        <w:spacing w:after="180" w:before="360"/>
      </w:pPr>
      <w:r>
        <w:rPr>
          <w:rFonts w:ascii="Arial" w:cs="Arial" w:eastAsia="Arial" w:hAnsi="Arial"/>
          <w:b/>
          <w:bCs/>
          <w:color w:val="1A2B3C"/>
          <w:sz w:val="32"/>
          <w:szCs w:val="32"/>
        </w:rPr>
        <w:t xml:space="preserve">📊 Engagement scorecard — what we're learning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E8F4F4" w:val="clear"/>
            <w:tcMar>
              <w:top w:type="dxa" w:w="200"/>
              <w:left w:type="dxa" w:w="240"/>
              <w:bottom w:type="dxa" w:w="200"/>
              <w:right w:type="dxa" w:w="240"/>
            </w:tcMar>
          </w:tcPr>
          <w:p>
            <w:pPr>
              <w:spacing w:after="120"/>
            </w:pPr>
            <w:r>
              <w:rPr>
                <w:rFonts w:ascii="Arial" w:cs="Arial" w:eastAsia="Arial" w:hAnsi="Arial"/>
                <w:b/>
                <w:bCs/>
                <w:color w:val="1A2B3C"/>
                <w:sz w:val="24"/>
                <w:szCs w:val="24"/>
              </w:rPr>
              <w:t xml:space="preserve">Why this section exists</w:t>
            </w:r>
          </w:p>
          <w:p>
            <w:r>
              <w:rPr>
                <w:rFonts w:ascii="Arial" w:cs="Arial" w:eastAsia="Arial" w:hAnsi="Arial"/>
                <w:sz w:val="22"/>
                <w:szCs w:val="22"/>
              </w:rPr>
              <w:t xml:space="preserve">This is where we capture what actually happens when we engage PSB. Every call, every LinkedIn touch, every signal — short note, what landed, what didn't, and what we change as a result. We test our assumptions on the live target, then update the rest of this package based on what we find. The package gets smarter as we go.</w:t>
            </w:r>
          </w:p>
        </w:tc>
      </w:tr>
    </w:tbl>
    <w:p>
      <w:pPr>
        <w:pStyle w:val="Heading2"/>
        <w:spacing w:after="140" w:before="280"/>
      </w:pPr>
      <w:r>
        <w:rPr>
          <w:rFonts w:ascii="Arial" w:cs="Arial" w:eastAsia="Arial" w:hAnsi="Arial"/>
          <w:b/>
          <w:bCs/>
          <w:color w:val="185FA5"/>
          <w:sz w:val="26"/>
          <w:szCs w:val="26"/>
        </w:rPr>
        <w:t xml:space="preserve">Package updates triggered by learnings</w:t>
      </w:r>
    </w:p>
    <w:p>
      <w:pPr>
        <w:spacing w:after="80" w:before="80"/>
      </w:pPr>
      <w:r>
        <w:rPr>
          <w:rFonts w:ascii="Arial" w:cs="Arial" w:eastAsia="Arial" w:hAnsi="Arial"/>
          <w:sz w:val="22"/>
          <w:szCs w:val="22"/>
        </w:rPr>
        <w:t xml:space="preserve">When a learning changes our approach, we update the relevant section of this package and note it here. Keeps the package live.</w:t>
      </w:r>
    </w:p>
    <w:tbl>
      <w:tblPr>
        <w:tblW w:type="dxa" w:w="1078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6580"/>
      </w:tblGrid>
      <w:tr>
        <w:trPr>
          <w:tblHeader/>
        </w:trPr>
        <w:tc>
          <w:tcPr>
            <w:tcW w:type="dxa" w:w="1200"/>
            <w:tcBorders>
              <w:top w:val="single" w:color="CCCCCC" w:sz="4"/>
              <w:left w:val="single" w:color="CCCCCC" w:sz="4"/>
              <w:bottom w:val="single" w:color="CCCCCC" w:sz="4"/>
              <w:right w:val="single" w:color="CCCCCC" w:sz="4"/>
            </w:tcBorders>
            <w:shd w:fill="1A2B3C"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Date</w:t>
            </w:r>
          </w:p>
        </w:tc>
        <w:tc>
          <w:tcPr>
            <w:tcW w:type="dxa" w:w="3000"/>
            <w:tcBorders>
              <w:top w:val="single" w:color="CCCCCC" w:sz="4"/>
              <w:left w:val="single" w:color="CCCCCC" w:sz="4"/>
              <w:bottom w:val="single" w:color="CCCCCC" w:sz="4"/>
              <w:right w:val="single" w:color="CCCCCC" w:sz="4"/>
            </w:tcBorders>
            <w:shd w:fill="1A2B3C"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Section updated</w:t>
            </w:r>
          </w:p>
        </w:tc>
        <w:tc>
          <w:tcPr>
            <w:tcW w:type="dxa" w:w="6580"/>
            <w:tcBorders>
              <w:top w:val="single" w:color="CCCCCC" w:sz="4"/>
              <w:left w:val="single" w:color="CCCCCC" w:sz="4"/>
              <w:bottom w:val="single" w:color="CCCCCC" w:sz="4"/>
              <w:right w:val="single" w:color="CCCCCC" w:sz="4"/>
            </w:tcBorders>
            <w:shd w:fill="1A2B3C"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What changed</w:t>
            </w:r>
          </w:p>
        </w:tc>
      </w:tr>
      <w:tr>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 </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 </w:t>
            </w:r>
          </w:p>
        </w:tc>
        <w:tc>
          <w:tcPr>
            <w:tcW w:type="dxa" w:w="65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 </w:t>
            </w:r>
          </w:p>
        </w:tc>
      </w:tr>
      <w:tr>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 </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 </w:t>
            </w:r>
          </w:p>
        </w:tc>
        <w:tc>
          <w:tcPr>
            <w:tcW w:type="dxa" w:w="65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 </w:t>
            </w:r>
          </w:p>
        </w:tc>
      </w:tr>
      <w:tr>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 </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 </w:t>
            </w:r>
          </w:p>
        </w:tc>
        <w:tc>
          <w:tcPr>
            <w:tcW w:type="dxa" w:w="65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 </w:t>
            </w:r>
          </w:p>
        </w:tc>
      </w:tr>
      <w:tr>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 </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 </w:t>
            </w:r>
          </w:p>
        </w:tc>
        <w:tc>
          <w:tcPr>
            <w:tcW w:type="dxa" w:w="65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 </w:t>
            </w:r>
          </w:p>
        </w:tc>
      </w:tr>
      <w:tr>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 </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 </w:t>
            </w:r>
          </w:p>
        </w:tc>
        <w:tc>
          <w:tcPr>
            <w:tcW w:type="dxa" w:w="65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 </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FF8E1" w:val="clear"/>
            <w:tcMar>
              <w:top w:type="dxa" w:w="200"/>
              <w:left w:type="dxa" w:w="240"/>
              <w:bottom w:type="dxa" w:w="200"/>
              <w:right w:type="dxa" w:w="240"/>
            </w:tcMar>
          </w:tcPr>
          <w:p>
            <w:pPr>
              <w:spacing w:after="120"/>
            </w:pPr>
            <w:r>
              <w:rPr>
                <w:rFonts w:ascii="Arial" w:cs="Arial" w:eastAsia="Arial" w:hAnsi="Arial"/>
                <w:b/>
                <w:bCs/>
                <w:color w:val="1A2B3C"/>
                <w:sz w:val="24"/>
                <w:szCs w:val="24"/>
              </w:rPr>
              <w:t xml:space="preserve">How I plan to use this</w:t>
            </w:r>
          </w:p>
          <w:p>
            <w:r>
              <w:rPr>
                <w:rFonts w:ascii="Arial" w:cs="Arial" w:eastAsia="Arial" w:hAnsi="Arial"/>
                <w:sz w:val="22"/>
                <w:szCs w:val="22"/>
              </w:rPr>
              <w:t xml:space="preserve">My read is the readiness package isn't finished when we send it — it's a starting point. After every meaningful interaction with PSB, I'll capture what we learned here. Before we move to the next P1, we'll review what worked and what didn't, and bring those lessons forward. The team's tribal knowledge fills in the gaps that research couldn't.</w:t>
            </w:r>
          </w:p>
        </w:tc>
      </w:tr>
    </w:tbl>
    <w:p>
      <w:pPr>
        <w:spacing w:after="80" w:before="200"/>
        <w:jc w:val="center"/>
      </w:pPr>
      <w:r>
        <w:rPr>
          <w:rFonts w:ascii="Arial" w:cs="Arial" w:eastAsia="Arial" w:hAnsi="Arial"/>
          <w:i/>
          <w:iCs/>
          <w:color w:val="888780"/>
          <w:sz w:val="18"/>
          <w:szCs w:val="18"/>
        </w:rPr>
        <w:t xml:space="preserve">— End of document —</w:t>
      </w:r>
    </w:p>
    <w:p>
      <w:pPr>
        <w:spacing w:after="40" w:before="40"/>
        <w:jc w:val="center"/>
      </w:pPr>
      <w:r>
        <w:rPr>
          <w:rFonts w:ascii="Arial" w:cs="Arial" w:eastAsia="Arial" w:hAnsi="Arial"/>
          <w:i/>
          <w:iCs/>
          <w:color w:val="888780"/>
          <w:sz w:val="16"/>
          <w:szCs w:val="16"/>
        </w:rPr>
        <w:t xml:space="preserve">Velocity GTM Co LLC  ·  PSB GTM Engagement Readiness  ·  April 24,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780"/>
        <w:sz w:val="16"/>
        <w:szCs w:val="16"/>
      </w:rPr>
      <w:t xml:space="preserve">Velocity GTM Co LLC  ·  April 24, 2026  ·  Page </w:t>
    </w:r>
    <w:r>
      <w:rPr>
        <w:rFonts w:ascii="Arial" w:cs="Arial" w:eastAsia="Arial" w:hAnsi="Arial"/>
        <w:color w:val="8887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780"/>
        <w:sz w:val="16"/>
        <w:szCs w:val="16"/>
      </w:rPr>
      <w:t xml:space="preserve">PSB · GTM ENGAGEMENT READINESS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2B3C"/>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185FA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PSB — GTM Engagement Readiness</dc:title>
  <dc:creator>Velocity GTM Co LLC</dc:creator>
  <cp:lastModifiedBy>Un-named</cp:lastModifiedBy>
  <cp:revision>1</cp:revision>
  <dcterms:created xsi:type="dcterms:W3CDTF">2026-04-27T19:00:07.726Z</dcterms:created>
  <dcterms:modified xsi:type="dcterms:W3CDTF">2026-04-27T19:00:07.726Z</dcterms:modified>
</cp:coreProperties>
</file>

<file path=docProps/custom.xml><?xml version="1.0" encoding="utf-8"?>
<Properties xmlns="http://schemas.openxmlformats.org/officeDocument/2006/custom-properties" xmlns:vt="http://schemas.openxmlformats.org/officeDocument/2006/docPropsVTypes"/>
</file>