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Arial" w:cs="Arial" w:eastAsia="Arial" w:hAnsi="Arial"/>
          <w:b/>
          <w:bCs/>
          <w:color w:val="1A2B3C"/>
          <w:sz w:val="44"/>
          <w:szCs w:val="44"/>
        </w:rPr>
        <w:t xml:space="preserve">RESIBRANDS</w:t>
      </w:r>
    </w:p>
    <w:p>
      <w:pPr>
        <w:spacing w:after="60" w:before="0"/>
        <w:jc w:val="center"/>
      </w:pPr>
      <w:r>
        <w:rPr>
          <w:rFonts w:ascii="Arial" w:cs="Arial" w:eastAsia="Arial" w:hAnsi="Arial"/>
          <w:b/>
          <w:bCs/>
          <w:color w:val="185FA5"/>
          <w:sz w:val="28"/>
          <w:szCs w:val="28"/>
        </w:rPr>
        <w:t xml:space="preserve">GTM Engagement Readiness</w:t>
      </w:r>
    </w:p>
    <w:p>
      <w:pPr>
        <w:spacing w:after="60" w:before="0"/>
        <w:jc w:val="center"/>
      </w:pPr>
      <w:r>
        <w:rPr>
          <w:rFonts w:ascii="Arial" w:cs="Arial" w:eastAsia="Arial" w:hAnsi="Arial"/>
          <w:b/>
          <w:bCs/>
          <w:color w:val="A32D2D"/>
          <w:sz w:val="22"/>
          <w:szCs w:val="22"/>
        </w:rPr>
        <w:t xml:space="preserve">Rank #4 · FAST-CYCLE · Score 60.2</w:t>
      </w:r>
    </w:p>
    <w:p>
      <w:pPr>
        <w:spacing w:after="240" w:before="0"/>
        <w:jc w:val="center"/>
      </w:pPr>
      <w:r>
        <w:rPr>
          <w:rFonts w:ascii="Arial" w:cs="Arial" w:eastAsia="Arial" w:hAnsi="Arial"/>
          <w:i/>
          <w:iCs/>
          <w:color w:val="888780"/>
          <w:sz w:val="20"/>
          <w:szCs w:val="20"/>
        </w:rPr>
        <w:t xml:space="preserve">Single-decision-maker close · smaller scale · fast yes/no cycle</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My read on this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5F5F5"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ResiBrands sits at rank #4</w:t>
            </w:r>
          </w:p>
          <w:p>
            <w:r>
              <w:rPr>
                <w:rFonts w:ascii="Arial" w:cs="Arial" w:eastAsia="Arial" w:hAnsi="Arial"/>
                <w:sz w:val="22"/>
                <w:szCs w:val="22"/>
              </w:rPr>
              <w:t xml:space="preserve">ResiBrands scored 59, actually higher than Authority and Neighborly on raw score, but the revenue rule deprioritized them to #5. Two engagement targets confirmed: Steven Montgomery (founder/CEO single decision authority) AND Codie Sanchez (co-owner + founder/CEO Contrarian Thinking, confirmed IFA26 speaker — substantial public profile). At ~$76K Year 1 @ 10% baseline / ~$191K @ 25% stretch, they're half the scale of PSB. The shape of this one is different than the strategic targets — ResiBrands is a tactical close, not a platform play. The advantage is speed. Steven Montgomery is founder/CEO with single-decision authority, and ResiConnect is front-end only. The FSM layer is franchisee-choice, so no displacement fight.</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Where I'd land it</w:t>
      </w:r>
    </w:p>
    <w:p>
      <w:pPr>
        <w:pStyle w:val="ListParagraph"/>
        <w:numPr>
          <w:ilvl w:val="0"/>
          <w:numId w:val="2"/>
        </w:numPr>
        <w:spacing w:after="40" w:before="40"/>
      </w:pPr>
      <w:r>
        <w:rPr>
          <w:rFonts w:ascii="Arial" w:cs="Arial" w:eastAsia="Arial" w:hAnsi="Arial"/>
          <w:sz w:val="22"/>
          <w:szCs w:val="22"/>
        </w:rPr>
        <w:t xml:space="preserve">Single decision-maker in Steven Montgomery. Fast yes/no cycle.</w:t>
      </w:r>
    </w:p>
    <w:p>
      <w:pPr>
        <w:pStyle w:val="ListParagraph"/>
        <w:numPr>
          <w:ilvl w:val="0"/>
          <w:numId w:val="2"/>
        </w:numPr>
        <w:spacing w:after="40" w:before="40"/>
      </w:pPr>
      <w:r>
        <w:rPr>
          <w:rFonts w:ascii="Arial" w:cs="Arial" w:eastAsia="Arial" w:hAnsi="Arial"/>
          <w:sz w:val="22"/>
          <w:szCs w:val="22"/>
        </w:rPr>
        <w:t xml:space="preserve">ResiConnect is front-end only, not FSM. Franchisee-choice backend means no displacement fight.</w:t>
      </w:r>
    </w:p>
    <w:p>
      <w:pPr>
        <w:pStyle w:val="ListParagraph"/>
        <w:numPr>
          <w:ilvl w:val="0"/>
          <w:numId w:val="2"/>
        </w:numPr>
        <w:spacing w:after="40" w:before="40"/>
      </w:pPr>
      <w:r>
        <w:rPr>
          <w:rFonts w:ascii="Arial" w:cs="Arial" w:eastAsia="Arial" w:hAnsi="Arial"/>
          <w:sz w:val="22"/>
          <w:szCs w:val="22"/>
        </w:rPr>
        <w:t xml:space="preserve">That 1 Painter at ~380 units is where I think we wedge in.</w:t>
      </w:r>
    </w:p>
    <w:p>
      <w:pPr>
        <w:pStyle w:val="ListParagraph"/>
        <w:numPr>
          <w:ilvl w:val="0"/>
          <w:numId w:val="2"/>
        </w:numPr>
        <w:spacing w:after="40" w:before="40"/>
      </w:pPr>
      <w:r>
        <w:rPr>
          <w:rFonts w:ascii="Arial" w:cs="Arial" w:eastAsia="Arial" w:hAnsi="Arial"/>
          <w:sz w:val="22"/>
          <w:szCs w:val="22"/>
        </w:rPr>
        <w:t xml:space="preserve">Trivest plus angel ownership gives us different exit dynamics than standard PE.</w:t>
      </w:r>
    </w:p>
    <w:p>
      <w:pPr>
        <w:pStyle w:val="ListParagraph"/>
        <w:numPr>
          <w:ilvl w:val="0"/>
          <w:numId w:val="2"/>
        </w:numPr>
        <w:spacing w:after="40" w:before="40"/>
      </w:pPr>
      <w:r>
        <w:rPr>
          <w:rFonts w:ascii="Arial" w:cs="Arial" w:eastAsia="Arial" w:hAnsi="Arial"/>
          <w:sz w:val="22"/>
          <w:szCs w:val="22"/>
        </w:rPr>
        <w:t xml:space="preserve">My read is we run this in parallel with Five Star — both are small, decision-maker-accessible, tactical pipeline fills.</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What we know — with sources</w:t>
      </w:r>
    </w:p>
    <w:p>
      <w:pPr>
        <w:spacing w:after="80" w:before="80"/>
      </w:pPr>
      <w:r>
        <w:rPr>
          <w:rFonts w:ascii="Arial" w:cs="Arial" w:eastAsia="Arial" w:hAnsi="Arial"/>
          <w:sz w:val="22"/>
          <w:szCs w:val="22"/>
        </w:rPr>
        <w:t xml:space="preserve">Core data points with confidence level, source, and verification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1400"/>
        <w:gridCol w:w="2000"/>
        <w:gridCol w:w="960"/>
      </w:tblGrid>
      <w:tr>
        <w:trPr>
          <w:tblHeader/>
        </w:trPr>
        <w:tc>
          <w:tcPr>
            <w:tcW w:type="dxa" w:w="2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Data Point</w:t>
            </w:r>
          </w:p>
        </w:tc>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Value</w:t>
            </w:r>
          </w:p>
        </w:tc>
        <w:tc>
          <w:tcPr>
            <w:tcW w:type="dxa" w:w="1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Confidence</w:t>
            </w:r>
          </w:p>
        </w:tc>
        <w:tc>
          <w:tcPr>
            <w:tcW w:type="dxa" w:w="2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Source</w:t>
            </w:r>
          </w:p>
        </w:tc>
        <w:tc>
          <w:tcPr>
            <w:tcW w:type="dxa" w:w="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Verified</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Total brands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5</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ResiBrands website</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That 1 Painter locations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~380 units</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FDD aggregator data</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Tech count (network)</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~2,550 mid-point (range 1,900-3,300)</w:t>
            </w:r>
          </w:p>
        </w:tc>
        <w:tc>
          <w:tcPr>
            <w:tcW w:type="dxa" w:w="1400"/>
            <w:tcBorders>
              <w:top w:val="single" w:color="CCCCCC" w:sz="4"/>
              <w:left w:val="single" w:color="CCCCCC" w:sz="4"/>
              <w:bottom w:val="single" w:color="CCCCCC" w:sz="4"/>
              <w:right w:val="single" w:color="CCCCCC" w:sz="4"/>
            </w:tcBorders>
            <w:shd w:fill="E8F4F4" w:val="clear"/>
            <w:tcMar>
              <w:top w:type="dxa" w:w="80"/>
              <w:left w:type="dxa" w:w="120"/>
              <w:bottom w:type="dxa" w:w="80"/>
              <w:right w:type="dxa" w:w="120"/>
            </w:tcMar>
          </w:tcPr>
          <w:p>
            <w:pPr>
              <w:jc w:val="center"/>
            </w:pPr>
            <w:r>
              <w:rPr>
                <w:rFonts w:ascii="Arial" w:cs="Arial" w:eastAsia="Arial" w:hAnsi="Arial"/>
                <w:b/>
                <w:bCs/>
                <w:i w:val="false"/>
                <w:iCs w:val="false"/>
                <w:color w:val="0F4C5C"/>
                <w:sz w:val="18"/>
                <w:szCs w:val="18"/>
              </w:rPr>
              <w:t xml:space="preserve">🟡 INDUSTRY_VERIFIED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Vertical-calibrated from verified location counts × industry-typical techs/location</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25</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Portfolio FSM (front-end)</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ResiConnect</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ResiBrands corporate</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FSM layer (backend)</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Franchisee-choice (likely)</w:t>
            </w:r>
          </w:p>
        </w:tc>
        <w:tc>
          <w:tcPr>
            <w:tcW w:type="dxa" w:w="1400"/>
            <w:tcBorders>
              <w:top w:val="single" w:color="CCCCCC" w:sz="4"/>
              <w:left w:val="single" w:color="CCCCCC" w:sz="4"/>
              <w:bottom w:val="single" w:color="CCCCCC" w:sz="4"/>
              <w:right w:val="single" w:color="CCCCCC" w:sz="4"/>
            </w:tcBorders>
            <w:shd w:fill="FCEBEB" w:val="clear"/>
            <w:tcMar>
              <w:top w:type="dxa" w:w="80"/>
              <w:left w:type="dxa" w:w="120"/>
              <w:bottom w:type="dxa" w:w="80"/>
              <w:right w:type="dxa" w:w="120"/>
            </w:tcMar>
          </w:tcPr>
          <w:p>
            <w:pPr>
              <w:jc w:val="center"/>
            </w:pPr>
            <w:r>
              <w:rPr>
                <w:rFonts w:ascii="Arial" w:cs="Arial" w:eastAsia="Arial" w:hAnsi="Arial"/>
                <w:b/>
                <w:bCs/>
                <w:i w:val="false"/>
                <w:iCs w:val="false"/>
                <w:color w:val="701010"/>
                <w:sz w:val="18"/>
                <w:szCs w:val="18"/>
              </w:rPr>
              <w:t xml:space="preserve">🔴 UNCONFIRMED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Not publicly disclosed</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Founder/CEO</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Steven Montgomery</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ResiBrands corporate</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 of decision-makers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1 (Montgomery)</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Single founder authority</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PE owner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Trivest + angel</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Trivest portfolio</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GPO Status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No formal GPO</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Web research (no procurement program identified)</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Consumer/Commercial mix</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Consumer 95%</w:t>
            </w:r>
          </w:p>
        </w:tc>
        <w:tc>
          <w:tcPr>
            <w:tcW w:type="dxa" w:w="1400"/>
            <w:tcBorders>
              <w:top w:val="single" w:color="CCCCCC" w:sz="4"/>
              <w:left w:val="single" w:color="CCCCCC" w:sz="4"/>
              <w:bottom w:val="single" w:color="CCCCCC" w:sz="4"/>
              <w:right w:val="single" w:color="CCCCCC" w:sz="4"/>
            </w:tcBorders>
            <w:shd w:fill="E8F4F4" w:val="clear"/>
            <w:tcMar>
              <w:top w:type="dxa" w:w="80"/>
              <w:left w:type="dxa" w:w="120"/>
              <w:bottom w:type="dxa" w:w="80"/>
              <w:right w:type="dxa" w:w="120"/>
            </w:tcMar>
          </w:tcPr>
          <w:p>
            <w:pPr>
              <w:jc w:val="center"/>
            </w:pPr>
            <w:r>
              <w:rPr>
                <w:rFonts w:ascii="Arial" w:cs="Arial" w:eastAsia="Arial" w:hAnsi="Arial"/>
                <w:b/>
                <w:bCs/>
                <w:i w:val="false"/>
                <w:iCs w:val="false"/>
                <w:color w:val="0F4C5C"/>
                <w:sz w:val="18"/>
                <w:szCs w:val="18"/>
              </w:rPr>
              <w:t xml:space="preserve">🟡 INDUSTRY_VERIFIED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Brand portfolio analysis — name reflects strategy ("Resi" = residential)</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Existing Telematics Solution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TBD — GPSI sales team to validate</w:t>
            </w:r>
          </w:p>
        </w:tc>
        <w:tc>
          <w:tcPr>
            <w:tcW w:type="dxa" w:w="1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55555"/>
                <w:sz w:val="18"/>
                <w:szCs w:val="18"/>
              </w:rPr>
              <w:t xml:space="preserve">⚪ ESTIMATED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GPS Insight customer database — pending sales team review</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PE exit math &amp; ROI — what we bring to the franchisor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AF3DE"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matters to PE in one sentence</w:t>
            </w:r>
          </w:p>
          <w:p>
            <w:r>
              <w:rPr>
                <w:rFonts w:ascii="Arial" w:cs="Arial" w:eastAsia="Arial" w:hAnsi="Arial"/>
                <w:sz w:val="22"/>
                <w:szCs w:val="22"/>
              </w:rPr>
              <w:t xml:space="preserve">Every $1 of franchisee-level EBITDA improvement converts to $10–14 of enterprise value at PE exit. A franchisor-funded FSM platform that costs $0.25 per $1 of EBITDA added delivers 40–50x ROI on invested capital over a typical hold period.</w:t>
            </w:r>
          </w:p>
        </w:tc>
      </w:tr>
    </w:tbl>
    <w:p>
      <w:pPr>
        <w:pStyle w:val="Heading2"/>
        <w:spacing w:after="140" w:before="280"/>
      </w:pPr>
      <w:r>
        <w:rPr>
          <w:rFonts w:ascii="Arial" w:cs="Arial" w:eastAsia="Arial" w:hAnsi="Arial"/>
          <w:b/>
          <w:bCs/>
          <w:color w:val="185FA5"/>
          <w:sz w:val="26"/>
          <w:szCs w:val="26"/>
        </w:rPr>
        <w:t xml:space="preserve">The exit multiple math</w:t>
      </w:r>
    </w:p>
    <w:p>
      <w:pPr>
        <w:spacing w:after="80" w:before="80"/>
      </w:pPr>
      <w:r>
        <w:rPr>
          <w:rFonts w:ascii="Arial" w:cs="Arial" w:eastAsia="Arial" w:hAnsi="Arial"/>
          <w:sz w:val="22"/>
          <w:szCs w:val="22"/>
        </w:rPr>
        <w:t xml:space="preserve">Home services franchisor exits consistently price at tech-enabled multiples: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Exit Category</w:t>
            </w:r>
          </w:p>
        </w:tc>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EBITDA Multiple Range</w:t>
            </w:r>
          </w:p>
        </w:tc>
        <w:tc>
          <w:tcPr>
            <w:tcW w:type="dxa" w:w="28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Source</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Established home services</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2"/>
                <w:szCs w:val="22"/>
              </w:rPr>
              <w:t xml:space="preserve">8–12x EBITDA</w:t>
            </w:r>
          </w:p>
        </w:tc>
        <w:tc>
          <w:tcPr>
            <w:tcW w:type="dxa" w:w="2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GF Data · PitchBook · industry benchmarks</w:t>
            </w:r>
          </w:p>
        </w:tc>
      </w:tr>
      <w:tr>
        <w:tc>
          <w:tcPr>
            <w:tcW w:type="dxa" w:w="35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Tech-enabled home services</w:t>
            </w:r>
          </w:p>
        </w:tc>
        <w:tc>
          <w:tcPr>
            <w:tcW w:type="dxa" w:w="30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10–14x EBITDA</w:t>
            </w:r>
          </w:p>
        </w:tc>
        <w:tc>
          <w:tcPr>
            <w:tcW w:type="dxa" w:w="286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val="false"/>
                <w:bCs w:val="false"/>
                <w:i/>
                <w:iCs/>
                <w:color w:val="27500A"/>
                <w:sz w:val="16"/>
                <w:szCs w:val="16"/>
              </w:rPr>
              <w:t xml:space="preserve">Higher for proven tech-enabled platforms</w:t>
            </w:r>
          </w:p>
        </w:tc>
      </w:tr>
      <w:tr>
        <w:tc>
          <w:tcPr>
            <w:tcW w:type="dxa" w:w="3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Value creation breakdown (PE-era)</w:t>
            </w:r>
          </w:p>
        </w:tc>
        <w:tc>
          <w:tcPr>
            <w:tcW w:type="dxa" w:w="30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val="false"/>
                <w:bCs w:val="false"/>
                <w:i w:val="false"/>
                <w:iCs w:val="false"/>
                <w:sz w:val="16"/>
                <w:szCs w:val="16"/>
              </w:rPr>
              <w:t xml:space="preserve">32% multiple expansion · 54% VCI</w:t>
            </w:r>
          </w:p>
        </w:tc>
        <w:tc>
          <w:tcPr>
            <w:tcW w:type="dxa" w:w="28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McKinsey / Bain PE value-creation studies</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595959"/>
          <w:sz w:val="22"/>
          <w:szCs w:val="22"/>
        </w:rPr>
        <w:t xml:space="preserve">VCI = Value Creation Initiatives. FSM platform consolidation is a textbook VCI — directly improves franchisee unit economics, which flows through to franchisor royalty economics, which is what the PE buyer is paying for.</w:t>
      </w:r>
    </w:p>
    <w:p>
      <w:pPr>
        <w:pStyle w:val="Heading2"/>
        <w:spacing w:after="140" w:before="280"/>
      </w:pPr>
      <w:r>
        <w:rPr>
          <w:rFonts w:ascii="Arial" w:cs="Arial" w:eastAsia="Arial" w:hAnsi="Arial"/>
          <w:b/>
          <w:bCs/>
          <w:color w:val="185FA5"/>
          <w:sz w:val="26"/>
          <w:szCs w:val="26"/>
        </w:rPr>
        <w:t xml:space="preserve">ResiBrands — franchisor-level ROI model</w:t>
      </w:r>
    </w:p>
    <w:p>
      <w:pPr>
        <w:spacing w:after="80" w:before="80"/>
      </w:pPr>
      <w:r>
        <w:rPr>
          <w:rFonts w:ascii="Arial" w:cs="Arial" w:eastAsia="Arial" w:hAnsi="Arial"/>
          <w:sz w:val="22"/>
          <w:szCs w:val="22"/>
        </w:rPr>
        <w:t xml:space="preserve">The model is straightforward — if ServiceBridge is adopted across ResiBrands's network, what does that do to ResiBrands's exit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rPr>
          <w:tblHeader/>
        </w:trPr>
        <w:tc>
          <w:tcPr>
            <w:tcW w:type="dxa" w:w="3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Variable</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Assumption</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Math</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Franchisee EBITDA improvement from FSM</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$8K/tech/year</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Route efficiency · job density · billing capture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Network tech base</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2,550 techs</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Vertical-calibrated from FDDs</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Buy-in rate assumed</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10% (working baseline)</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Conservative Phase 1-2 starting assumption</w:t>
            </w:r>
          </w:p>
        </w:tc>
      </w:tr>
      <w:tr>
        <w:tc>
          <w:tcPr>
            <w:tcW w:type="dxa" w:w="3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Network EBITDA improvement</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$2.04M/yr</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iCs/>
                <w:color w:val="27500A"/>
                <w:sz w:val="16"/>
                <w:szCs w:val="16"/>
              </w:rPr>
              <w:t xml:space="preserve">2,550 × 10% × $8K</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Royalty pass-through (~6%)</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$0.12M/yr</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Typical franchisor royalty rate</w:t>
            </w:r>
          </w:p>
        </w:tc>
      </w:tr>
      <w:tr>
        <w:tc>
          <w:tcPr>
            <w:tcW w:type="dxa" w:w="320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Exit multiple applied (12x)</w:t>
            </w:r>
          </w:p>
        </w:tc>
        <w:tc>
          <w:tcPr>
            <w:tcW w:type="dxa" w:w="308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center"/>
            </w:pPr>
            <w:r>
              <w:rPr>
                <w:rFonts w:ascii="Arial" w:cs="Arial" w:eastAsia="Arial" w:hAnsi="Arial"/>
                <w:b/>
                <w:bCs/>
                <w:i w:val="false"/>
                <w:iCs w:val="false"/>
                <w:color w:val="633806"/>
                <w:sz w:val="22"/>
                <w:szCs w:val="22"/>
              </w:rPr>
              <w:t xml:space="preserve">$1.47M</w:t>
            </w:r>
          </w:p>
        </w:tc>
        <w:tc>
          <w:tcPr>
            <w:tcW w:type="dxa" w:w="308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center"/>
            </w:pPr>
            <w:r>
              <w:rPr>
                <w:rFonts w:ascii="Arial" w:cs="Arial" w:eastAsia="Arial" w:hAnsi="Arial"/>
                <w:b w:val="false"/>
                <w:bCs w:val="false"/>
                <w:i/>
                <w:iCs/>
                <w:color w:val="633806"/>
                <w:sz w:val="16"/>
                <w:szCs w:val="16"/>
              </w:rPr>
              <w:t xml:space="preserve">Franchisor-level exit value add</w:t>
            </w:r>
          </w:p>
        </w:tc>
      </w:tr>
      <w:tr>
        <w:tc>
          <w:tcPr>
            <w:tcW w:type="dxa" w:w="320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left"/>
            </w:pPr>
            <w:r>
              <w:rPr>
                <w:rFonts w:ascii="Arial" w:cs="Arial" w:eastAsia="Arial" w:hAnsi="Arial"/>
                <w:b/>
                <w:bCs/>
                <w:i w:val="false"/>
                <w:iCs w:val="false"/>
                <w:color w:val="FFFFFF"/>
                <w:sz w:val="20"/>
                <w:szCs w:val="20"/>
              </w:rPr>
              <w:t xml:space="preserve">Direct franchisee-level exit (10x)</w:t>
            </w:r>
          </w:p>
        </w:tc>
        <w:tc>
          <w:tcPr>
            <w:tcW w:type="dxa" w:w="308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center"/>
            </w:pPr>
            <w:r>
              <w:rPr>
                <w:rFonts w:ascii="Arial" w:cs="Arial" w:eastAsia="Arial" w:hAnsi="Arial"/>
                <w:b/>
                <w:bCs/>
                <w:i w:val="false"/>
                <w:iCs w:val="false"/>
                <w:color w:val="FFFFFF"/>
                <w:sz w:val="22"/>
                <w:szCs w:val="22"/>
              </w:rPr>
              <w:t xml:space="preserve">$20.4M</w:t>
            </w:r>
          </w:p>
        </w:tc>
        <w:tc>
          <w:tcPr>
            <w:tcW w:type="dxa" w:w="308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center"/>
            </w:pPr>
            <w:r>
              <w:rPr>
                <w:rFonts w:ascii="Arial" w:cs="Arial" w:eastAsia="Arial" w:hAnsi="Arial"/>
                <w:b w:val="false"/>
                <w:bCs w:val="false"/>
                <w:i/>
                <w:iCs/>
                <w:color w:val="FFFFFF"/>
                <w:sz w:val="16"/>
                <w:szCs w:val="16"/>
              </w:rPr>
              <w:t xml:space="preserve">Franchisee network enterprise value lift</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What ServiceBridge asks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rPr>
          <w:tblHeader/>
        </w:trPr>
        <w:tc>
          <w:tcPr>
            <w:tcW w:type="dxa" w:w="3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Year</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Investment @ 10% buy-in (baseline)</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Cumulative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1</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$76,347</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$76,347</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2</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$76,347</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$152,694</w:t>
            </w:r>
          </w:p>
        </w:tc>
      </w:tr>
      <w:tr>
        <w:tc>
          <w:tcPr>
            <w:tcW w:type="dxa" w:w="3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3</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$76,347</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$229,041</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Stretch case for context: at 25% buy-in, Year 1 ARR jumps to $190,868 and 3-year cumulative reaches $572,604. We don't lead with this — 10% is our working baseline. 25% is what the math becomes if early wins compound.</w:t>
      </w:r>
    </w:p>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The ratio that lands this with PE</w:t>
            </w:r>
          </w:p>
          <w:p>
            <w:r>
              <w:rPr>
                <w:rFonts w:ascii="Arial" w:cs="Arial" w:eastAsia="Arial" w:hAnsi="Arial"/>
                <w:sz w:val="22"/>
                <w:szCs w:val="22"/>
              </w:rPr>
              <w:t xml:space="preserve">At 10% buy-in for ResiBrands — our conservative working baseline — franchisee-level exit value creation is ~$20M (10% penetration × $8K/tech EBITDA × 10x multiple). 3-year cumulative ServiceBridge investment is ~$229.04K at 10% buy-in. The ratio of value created to platform cost is roughly 89x. This is the arithmetic that franchisor CFOs and PE operating partners use to evaluate platform initiatives — and 10% is intentionally the floor we set the conversation at, not the ceiling.</w:t>
            </w:r>
          </w:p>
        </w:tc>
      </w:tr>
    </w:tbl>
    <w:p>
      <w:pPr>
        <w:spacing w:after="100" w:before="200"/>
      </w:pPr>
      <w:r>
        <w:rPr>
          <w:rFonts w:ascii="Arial" w:cs="Arial" w:eastAsia="Arial" w:hAnsi="Arial"/>
          <w:b/>
          <w:bCs/>
          <w:color w:val="1A2B3C"/>
          <w:sz w:val="22"/>
          <w:szCs w:val="22"/>
        </w:rPr>
        <w:t xml:space="preserve">How the math shifts with adoption</w:t>
      </w:r>
    </w:p>
    <w:p>
      <w:pPr>
        <w:spacing w:after="80" w:before="80"/>
      </w:pPr>
      <w:r>
        <w:rPr>
          <w:rFonts w:ascii="Arial" w:cs="Arial" w:eastAsia="Arial" w:hAnsi="Arial"/>
          <w:sz w:val="22"/>
          <w:szCs w:val="22"/>
        </w:rPr>
        <w:t xml:space="preserve">At different network penetration rates, the franchisee-level exit value created by a ResiBrands ServiceBridge rollout scales: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Buy-in rate</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Techs adopting</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Network EBITDA lift</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Franchisee exit value (10x)</w:t>
            </w:r>
          </w:p>
        </w:tc>
      </w:tr>
      <w:tr>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10% (working baseline)</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255</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$2.0M</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$20M</w:t>
            </w:r>
          </w:p>
        </w:tc>
      </w:tr>
      <w:tr>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25% (stretch case)</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638</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$5.1M</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2"/>
                <w:szCs w:val="22"/>
              </w:rPr>
              <w:t xml:space="preserve">$51M</w:t>
            </w:r>
          </w:p>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How we engage</w:t>
      </w:r>
    </w:p>
    <w:p>
      <w:pPr>
        <w:pStyle w:val="Heading2"/>
        <w:spacing w:after="140" w:before="280"/>
      </w:pPr>
      <w:r>
        <w:rPr>
          <w:rFonts w:ascii="Arial" w:cs="Arial" w:eastAsia="Arial" w:hAnsi="Arial"/>
          <w:b/>
          <w:bCs/>
          <w:color w:val="185FA5"/>
          <w:sz w:val="26"/>
          <w:szCs w:val="26"/>
        </w:rPr>
        <w:t xml:space="preserve">Engagement urgency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URGENCY SCORE</w:t>
            </w:r>
          </w:p>
        </w:tc>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TIME-TO-ENGAGE</w:t>
            </w:r>
          </w:p>
        </w:tc>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STRATEGIC RANK</w:t>
            </w:r>
          </w:p>
        </w:tc>
      </w:tr>
      <w:tr>
        <w:tc>
          <w:tcPr>
            <w:tcW w:type="dxa" w:w="312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32"/>
                <w:szCs w:val="32"/>
              </w:rPr>
              <w:t xml:space="preserve">6 / 15</w:t>
            </w:r>
          </w:p>
        </w:tc>
        <w:tc>
          <w:tcPr>
            <w:tcW w:type="dxa" w:w="312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2"/>
                <w:szCs w:val="22"/>
              </w:rPr>
              <w:t xml:space="preserve">MID-TERM (Wks 10-13+)</w:t>
            </w:r>
          </w:p>
        </w:tc>
        <w:tc>
          <w:tcPr>
            <w:tcW w:type="dxa" w:w="312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1A2B3C"/>
                <w:sz w:val="22"/>
                <w:szCs w:val="22"/>
              </w:rPr>
              <w:t xml:space="preserve">#4 of 7  (FAST-CYCLE)</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Why this urgency score — 5-signal breakdown</w:t>
      </w:r>
    </w:p>
    <w:tbl>
      <w:tblPr>
        <w:tblW w:type="dxa" w:w="1290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900"/>
        <w:gridCol w:w="9000"/>
      </w:tblGrid>
      <w:tr>
        <w:trPr>
          <w:tblHeader/>
        </w:trPr>
        <w:tc>
          <w:tcPr>
            <w:tcW w:type="dxa" w:w="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
            </w:r>
          </w:p>
        </w:tc>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Signal</w:t>
            </w:r>
          </w:p>
        </w:tc>
        <w:tc>
          <w:tcPr>
            <w:tcW w:type="dxa" w:w="9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7"/>
                <w:szCs w:val="17"/>
              </w:rPr>
              <w:t xml:space="preserve">Score</w:t>
            </w:r>
          </w:p>
        </w:tc>
        <w:tc>
          <w:tcPr>
            <w:tcW w:type="dxa" w:w="9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Why this score</w:t>
            </w:r>
          </w:p>
        </w:tc>
      </w:tr>
      <w:tr>
        <w:tc>
          <w:tcPr>
            <w:tcW w:type="dxa" w:w="6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Leadership transition</w:t>
            </w:r>
          </w:p>
        </w:tc>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1/3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Montgomery still founder/CEO. Sanchez investor since 2022 (Trivest deal). No fresh tech-mandating transition.</w:t>
            </w:r>
          </w:p>
        </w:tc>
      </w:tr>
      <w:tr>
        <w:tc>
          <w:tcPr>
            <w:tcW w:type="dxa" w:w="6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In-window event presence</w:t>
            </w:r>
          </w:p>
        </w:tc>
        <w:tc>
          <w:tcPr>
            <w:tcW w:type="dxa" w:w="9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95959"/>
                <w:sz w:val="20"/>
                <w:szCs w:val="20"/>
              </w:rPr>
              <w:t xml:space="preserve">0/3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No ResiBrands target confirmed at FCXC. ResiBrands ecosystem more active in Sanchez's Contrarian Thinking content channels than industry events.</w:t>
            </w:r>
          </w:p>
        </w:tc>
      </w:tr>
      <w:tr>
        <w:tc>
          <w:tcPr>
            <w:tcW w:type="dxa" w:w="6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Active buying-mode signals</w:t>
            </w:r>
          </w:p>
        </w:tc>
        <w:tc>
          <w:tcPr>
            <w:tcW w:type="dxa" w:w="9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2/3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Sanchez ecosystem highly active publicly (Contrarian Thinking platform). Montgomery operates founder-driven decision style. Brand momentum signals 'in build mode' more than 'in evaluation mode.'</w:t>
            </w:r>
          </w:p>
        </w:tc>
      </w:tr>
      <w:tr>
        <w:tc>
          <w:tcPr>
            <w:tcW w:type="dxa" w:w="6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Existing access vector</w:t>
            </w:r>
          </w:p>
        </w:tc>
        <w:tc>
          <w:tcPr>
            <w:tcW w:type="dxa" w:w="9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2/3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Sanchez accessibility via Contrarian Thinking ecosystem is a unique access vector — content collaboration angle, podcast appearance opportunity. Time-bound to her audience attention cycles.</w:t>
            </w:r>
          </w:p>
        </w:tc>
      </w:tr>
      <w:tr>
        <w:tc>
          <w:tcPr>
            <w:tcW w:type="dxa" w:w="6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Active vendor evaluation</w:t>
            </w:r>
          </w:p>
        </w:tc>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1/3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No specific public RFP or vendor-dissatisfaction signal. Founder-led brands tend to decide quickly once they engage but don't show formal evaluation patterns publicly.</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What this means — first engagement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Where to start with ResiBrands this week</w:t>
            </w:r>
          </w:p>
          <w:p>
            <w:r>
              <w:rPr>
                <w:rFonts w:ascii="Arial" w:cs="Arial" w:eastAsia="Arial" w:hAnsi="Arial"/>
                <w:sz w:val="22"/>
                <w:szCs w:val="22"/>
              </w:rPr>
              <w:t xml:space="preserve">ResiBrands sits in Phase 1 'opportunistic' status — we don't proactively activate, but Sanchez ecosystem is volatile and an opening could materialize. Stay alert; don't burn capacity proactively engaging.</w:t>
            </w:r>
          </w:p>
        </w:tc>
      </w:tr>
    </w:tbl>
    <w:p>
      <w:pPr>
        <w:spacing w:after="80" w:before="80"/>
      </w:pPr>
      <w:r>
        <w:rPr>
          <w:rFonts w:ascii="Arial" w:cs="Arial" w:eastAsia="Arial" w:hAnsi="Arial"/>
          <w:b w:val="false"/>
          <w:bCs w:val="false"/>
          <w:sz w:val="22"/>
          <w:szCs w:val="22"/>
        </w:rPr>
        <w:t xml:space="preserve">1. Wk 1-2: GPSI team → Trivest mapping in same warm path session. Sanchez's Contrarian Thinking ecosystem may have warm-intro overlap with GPSI team's network.</w:t>
      </w:r>
    </w:p>
    <w:p>
      <w:pPr>
        <w:spacing w:after="80" w:before="80"/>
      </w:pPr>
      <w:r>
        <w:rPr>
          <w:rFonts w:ascii="Arial" w:cs="Arial" w:eastAsia="Arial" w:hAnsi="Arial"/>
          <w:b w:val="false"/>
          <w:bCs w:val="false"/>
          <w:sz w:val="22"/>
          <w:szCs w:val="22"/>
        </w:rPr>
        <w:t xml:space="preserve">2. Wk 2-4: Both planned LinkedIn articles reach Sanchez's audience. Tag her if relevant. Watch for content engagement signals — like, comment, share = activation trigger.</w:t>
      </w:r>
    </w:p>
    <w:p>
      <w:pPr>
        <w:spacing w:after="80" w:before="80"/>
      </w:pPr>
      <w:r>
        <w:rPr>
          <w:rFonts w:ascii="Arial" w:cs="Arial" w:eastAsia="Arial" w:hAnsi="Arial"/>
          <w:b w:val="false"/>
          <w:bCs w:val="false"/>
          <w:sz w:val="22"/>
          <w:szCs w:val="22"/>
        </w:rPr>
        <w:t xml:space="preserve">3. Wk 3-6: Marketing teammates can probe for any existing GPSI relationship at That 1 Painter or Pink's Window Cleaning operators.</w:t>
      </w:r>
    </w:p>
    <w:p>
      <w:pPr>
        <w:spacing w:after="80" w:before="80"/>
      </w:pPr>
      <w:r>
        <w:rPr>
          <w:rFonts w:ascii="Arial" w:cs="Arial" w:eastAsia="Arial" w:hAnsi="Arial"/>
          <w:b w:val="false"/>
          <w:bCs w:val="false"/>
          <w:sz w:val="22"/>
          <w:szCs w:val="22"/>
        </w:rPr>
        <w:t xml:space="preserve">4. Opportunistic: If Sanchez podcast/content collab opportunity surfaces, take it. Otherwise hold for Phase 2.</w:t>
      </w:r>
    </w:p>
    <w:p>
      <w:pPr>
        <w:pBdr>
          <w:bottom w:val="single" w:color="185FA5" w:sz="6" w:space="1"/>
        </w:pBdr>
        <w:spacing w:after="120" w:before="120"/>
      </w:pPr>
    </w:p>
    <w:p>
      <w:pPr>
        <w:pStyle w:val="Heading2"/>
        <w:spacing w:after="140" w:before="280"/>
      </w:pPr>
      <w:r>
        <w:rPr>
          <w:rFonts w:ascii="Arial" w:cs="Arial" w:eastAsia="Arial" w:hAnsi="Arial"/>
          <w:b/>
          <w:bCs/>
          <w:color w:val="185FA5"/>
          <w:sz w:val="26"/>
          <w:szCs w:val="26"/>
        </w:rPr>
        <w:t xml:space="preserve">Where this one sits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5F5F5"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ResiBrands is ranked 4 of 7 P1 targets — character: FAST-CYCLE</w:t>
            </w:r>
          </w:p>
          <w:p>
            <w:r>
              <w:rPr>
                <w:rFonts w:ascii="Arial" w:cs="Arial" w:eastAsia="Arial" w:hAnsi="Arial"/>
                <w:sz w:val="22"/>
                <w:szCs w:val="22"/>
              </w:rPr>
              <w:t xml:space="preserve">FAST-CYCLE character. Scored 60.2 (V2 weighted across 7 dimensions — see 'How we scored this' below) but half the revenue scale of our strategic targets. Good pipeline fill — single-decision-maker, fast cycle, reasonable deal size. Not a platform anchor.</w:t>
            </w:r>
          </w:p>
        </w:tc>
      </w:tr>
    </w:tbl>
    <w:p>
      <w:pPr>
        <w:pStyle w:val="Heading2"/>
        <w:spacing w:after="140" w:before="280"/>
      </w:pPr>
      <w:r>
        <w:rPr>
          <w:rFonts w:ascii="Arial" w:cs="Arial" w:eastAsia="Arial" w:hAnsi="Arial"/>
          <w:b/>
          <w:bCs/>
          <w:color w:val="185FA5"/>
          <w:sz w:val="26"/>
          <w:szCs w:val="26"/>
        </w:rPr>
        <w:t xml:space="preserve">Where I think we wedge in</w:t>
      </w:r>
    </w:p>
    <w:p>
      <w:pPr>
        <w:spacing w:after="80" w:before="80"/>
      </w:pPr>
      <w:r>
        <w:rPr>
          <w:rFonts w:ascii="Arial" w:cs="Arial" w:eastAsia="Arial" w:hAnsi="Arial"/>
          <w:sz w:val="22"/>
          <w:szCs w:val="22"/>
        </w:rPr>
        <w:t xml:space="preserve">That 1 Painter (~380 units) is the lead wedge — painter franchisees are fleet-enabled and benefit from route optimization. One conversation with Montgomery determines the entire ResiBrands story.</w:t>
      </w:r>
    </w:p>
    <w:p>
      <w:pPr>
        <w:pStyle w:val="ListParagraph"/>
        <w:numPr>
          <w:ilvl w:val="0"/>
          <w:numId w:val="2"/>
        </w:numPr>
        <w:spacing w:after="40" w:before="40"/>
      </w:pPr>
      <w:r>
        <w:rPr>
          <w:rFonts w:ascii="Arial" w:cs="Arial" w:eastAsia="Arial" w:hAnsi="Arial"/>
          <w:sz w:val="22"/>
          <w:szCs w:val="22"/>
        </w:rPr>
        <w:t xml:space="preserve">That 1 Painter multi-franchisee pilot — economics proof in 90 days.</w:t>
      </w:r>
    </w:p>
    <w:p>
      <w:pPr>
        <w:pStyle w:val="ListParagraph"/>
        <w:numPr>
          <w:ilvl w:val="0"/>
          <w:numId w:val="2"/>
        </w:numPr>
        <w:spacing w:after="40" w:before="40"/>
      </w:pPr>
      <w:r>
        <w:rPr>
          <w:rFonts w:ascii="Arial" w:cs="Arial" w:eastAsia="Arial" w:hAnsi="Arial"/>
          <w:sz w:val="22"/>
          <w:szCs w:val="22"/>
        </w:rPr>
        <w:t xml:space="preserve">Roll to other ResiBrands concepts after proof point.</w:t>
      </w:r>
    </w:p>
    <w:p>
      <w:pPr>
        <w:pStyle w:val="ListParagraph"/>
        <w:numPr>
          <w:ilvl w:val="0"/>
          <w:numId w:val="2"/>
        </w:numPr>
        <w:spacing w:after="40" w:before="40"/>
      </w:pPr>
      <w:r>
        <w:rPr>
          <w:rFonts w:ascii="Arial" w:cs="Arial" w:eastAsia="Arial" w:hAnsi="Arial"/>
          <w:sz w:val="22"/>
          <w:szCs w:val="22"/>
        </w:rPr>
        <w:t xml:space="preserve">Positioning: 'ServiceBridge sits behind ResiConnect' — not a replacement, a complement.</w:t>
      </w:r>
    </w:p>
    <w:p>
      <w:pPr>
        <w:pStyle w:val="ListParagraph"/>
        <w:numPr>
          <w:ilvl w:val="0"/>
          <w:numId w:val="2"/>
        </w:numPr>
        <w:spacing w:after="40" w:before="40"/>
      </w:pPr>
      <w:r>
        <w:rPr>
          <w:rFonts w:ascii="Arial" w:cs="Arial" w:eastAsia="Arial" w:hAnsi="Arial"/>
          <w:sz w:val="22"/>
          <w:szCs w:val="22"/>
        </w:rPr>
        <w:t xml:space="preserve">Trivest network + Montgomery's angel investors = potential warm-path leverage points.</w:t>
      </w:r>
    </w:p>
    <w:p>
      <w:pPr>
        <w:pStyle w:val="Heading2"/>
      </w:pPr>
      <w:r>
        <w:t xml:space="preserve">Warm path &amp; contact intel — v15.36 CRM sync</w:t>
      </w:r>
    </w:p>
    <w:p>
      <w:pPr>
        <w:spacing w:before="80" w:after="80"/>
      </w:pPr>
      <w:r>
        <w:rPr>
          <w:i/>
          <w:iCs/>
          <w:color w:val="6B7280"/>
          <w:sz w:val="20"/>
          <w:szCs w:val="20"/>
        </w:rPr>
        <w:t xml:space="preserve">Top contacts plus warm-path status. 🟢 active warm angle · 🟡 status change to verify · 🟣 team assignment.</w:t>
      </w:r>
    </w:p>
    <w:tbl>
      <w:tblPr>
        <w:tblW w:w="90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00"/>
        <w:gridCol w:w="1900"/>
        <w:gridCol w:w="1900"/>
        <w:gridCol w:w="1700"/>
        <w:gridCol w:w="1800"/>
      </w:tblGrid>
      <w:tr>
        <w:trPr>
          <w:tblHeader/>
        </w:trPr>
        <w:tc>
          <w:tcPr>
            <w:tcW w:w="1700" w:type="dxa"/>
            <w:shd w:val="clear" w:color="auto" w:fill="1A2B3C"/>
          </w:tcPr>
          <w:p>
            <w:pPr>
              <w:spacing w:before="60" w:after="60"/>
            </w:pPr>
            <w:r>
              <w:rPr>
                <w:b/>
                <w:bCs/>
                <w:color w:val="FFFFFF"/>
                <w:sz w:val="18"/>
              </w:rPr>
              <w:t>Name</w:t>
            </w:r>
          </w:p>
        </w:tc>
        <w:tc>
          <w:tcPr>
            <w:tcW w:w="1900" w:type="dxa"/>
            <w:shd w:val="clear" w:color="auto" w:fill="1A2B3C"/>
          </w:tcPr>
          <w:p>
            <w:pPr>
              <w:spacing w:before="60" w:after="60"/>
            </w:pPr>
            <w:r>
              <w:rPr>
                <w:b/>
                <w:bCs/>
                <w:color w:val="FFFFFF"/>
                <w:sz w:val="18"/>
              </w:rPr>
              <w:t>Role</w:t>
            </w:r>
          </w:p>
        </w:tc>
        <w:tc>
          <w:tcPr>
            <w:tcW w:w="1900" w:type="dxa"/>
            <w:shd w:val="clear" w:color="auto" w:fill="1A2B3C"/>
          </w:tcPr>
          <w:p>
            <w:pPr>
              <w:spacing w:before="60" w:after="60"/>
            </w:pPr>
            <w:r>
              <w:rPr>
                <w:b/>
                <w:bCs/>
                <w:color w:val="FFFFFF"/>
                <w:sz w:val="18"/>
              </w:rPr>
              <w:t>LinkedIn</w:t>
            </w:r>
          </w:p>
        </w:tc>
        <w:tc>
          <w:tcPr>
            <w:tcW w:w="1700" w:type="dxa"/>
            <w:shd w:val="clear" w:color="auto" w:fill="1A2B3C"/>
          </w:tcPr>
          <w:p>
            <w:pPr>
              <w:spacing w:before="60" w:after="60"/>
            </w:pPr>
            <w:r>
              <w:rPr>
                <w:b/>
                <w:bCs/>
                <w:color w:val="FFFFFF"/>
                <w:sz w:val="18"/>
              </w:rPr>
              <w:t>School</w:t>
            </w:r>
          </w:p>
        </w:tc>
        <w:tc>
          <w:tcPr>
            <w:tcW w:w="1800" w:type="dxa"/>
            <w:shd w:val="clear" w:color="auto" w:fill="1A2B3C"/>
          </w:tcPr>
          <w:p>
            <w:pPr>
              <w:spacing w:before="60" w:after="60"/>
            </w:pPr>
            <w:r>
              <w:rPr>
                <w:b/>
                <w:bCs/>
                <w:color w:val="FFFFFF"/>
                <w:sz w:val="18"/>
              </w:rPr>
              <w:t>Warm-Path Status / Notes</w:t>
            </w:r>
          </w:p>
        </w:tc>
      </w:tr>
    </w:tbl>
    <w:p>
      <w:pPr>
        <w:pStyle w:val="Heading1"/>
      </w:pPr>
      <w:r>
        <w:t xml:space="preserve">📞 Outreach plan &amp; sequencing — IN DEVELOPMENT</w:t>
      </w:r>
    </w:p>
    <w:tbl>
      <w:tblPr>
        <w:tblW w:w="9000" w:type="dxa"/>
        <w:tblBorders>
          <w:top w:val="single" w:sz="4" w:space="0" w:color="D97706"/>
          <w:left w:val="single" w:sz="4" w:space="0" w:color="D97706"/>
          <w:bottom w:val="single" w:sz="4" w:space="0" w:color="D97706"/>
          <w:right w:val="single" w:sz="4" w:space="0" w:color="D97706"/>
        </w:tblBorders>
      </w:tblPr>
      <w:tblGrid>
        <w:gridCol w:w="9000"/>
      </w:tblGrid>
      <w:tr>
        <w:tc>
          <w:tcPr>
            <w:tcW w:w="9000" w:type="dxa"/>
            <w:shd w:val="clear" w:color="auto" w:fill="FEF3C7"/>
          </w:tcPr>
          <w:p>
            <w:pPr>
              <w:spacing w:before="80" w:after="80"/>
            </w:pPr>
            <w:r>
              <w:rPr>
                <w:b/>
                <w:bCs/>
                <w:color w:val="92400E"/>
              </w:rPr>
              <w:t xml:space="preserve">Status: </w:t>
            </w:r>
            <w:r>
              <w:t xml:space="preserve">Working with Becky (GPS Insight Marketing) on a coordinated warm marketing touch plan that sequences outreach against the contacts above using Alumni Crossover v19 warm anchors. Will populate as deliverables land. Live entries in Master CRM v15.36 Engagement Log (#79–83).</w:t>
            </w:r>
          </w:p>
        </w:tc>
      </w:tr>
    </w:tbl>
    <w:p>
      <w:pPr>
        <w:spacing w:before="80" w:after="80"/>
      </w:pPr>
      <w:r>
        <w:rPr>
          <w:b/>
          <w:bCs/>
          <w:color w:val="1A2B3C"/>
        </w:rPr>
        <w:t xml:space="preserve">Inputs needed from GPS Insight team:</w:t>
      </w:r>
    </w:p>
    <w:p>
      <w:pPr>
        <w:spacing w:before="40" w:after="40"/>
        <w:ind w:left="360" w:hanging="360"/>
      </w:pPr>
      <w:r>
        <w:t xml:space="preserve">• </w:t>
      </w:r>
      <w:r>
        <w:t xml:space="preserve">Alumni hits in column J of Alumni Crossover v19 (alma mater matches)</w:t>
      </w:r>
    </w:p>
    <w:p>
      <w:pPr>
        <w:spacing w:before="40" w:after="40"/>
        <w:ind w:left="360" w:hanging="360"/>
      </w:pPr>
      <w:r>
        <w:t xml:space="preserve">• </w:t>
      </w:r>
      <w:r>
        <w:t xml:space="preserve">LinkedIn 1st-degree mutual connections — click each LinkedIn URL above</w:t>
      </w:r>
    </w:p>
    <w:p>
      <w:pPr>
        <w:spacing w:before="40" w:after="40"/>
        <w:ind w:left="360" w:hanging="360"/>
      </w:pPr>
      <w:r>
        <w:t xml:space="preserve">• </w:t>
      </w:r>
      <w:r>
        <w:t xml:space="preserve">Verification of any flagged status changes before sequencing</w:t>
      </w:r>
    </w:p>
    <w:p>
      <w:pPr>
        <w:pStyle w:val="Heading1"/>
        <w:spacing w:after="180" w:before="360"/>
      </w:pPr>
      <w:r>
        <w:rPr>
          <w:rFonts w:ascii="Arial" w:cs="Arial" w:eastAsia="Arial" w:hAnsi="Arial"/>
          <w:b/>
          <w:bCs/>
          <w:color w:val="1A2B3C"/>
          <w:sz w:val="32"/>
          <w:szCs w:val="32"/>
        </w:rPr>
        <w:t xml:space="preserve">⚔️ Competitive landscape — where the headwinds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My read on ResiBrands's FSM landscape</w:t>
            </w:r>
          </w:p>
          <w:p>
            <w:r>
              <w:rPr>
                <w:rFonts w:ascii="Arial" w:cs="Arial" w:eastAsia="Arial" w:hAnsi="Arial"/>
                <w:sz w:val="22"/>
                <w:szCs w:val="22"/>
              </w:rPr>
              <w:t xml:space="preserve">ResiBrands runs ResiConnect — but this is front-end only (lead routing/customer intake), NOT FSM. The actual field service backend is franchisee-choice across all 5 brands. No displacement fight at the franchisor level. Steven Montgomery has single decision authority — fast yes/no. Tactical close, not a strategic platform play.</w:t>
            </w:r>
          </w:p>
        </w:tc>
      </w:tr>
    </w:tbl>
    <w:p>
      <w:pPr>
        <w:pStyle w:val="Heading2"/>
        <w:spacing w:after="140" w:before="280"/>
      </w:pPr>
      <w:r>
        <w:rPr>
          <w:rFonts w:ascii="Arial" w:cs="Arial" w:eastAsia="Arial" w:hAnsi="Arial"/>
          <w:b/>
          <w:bCs/>
          <w:color w:val="185FA5"/>
          <w:sz w:val="26"/>
          <w:szCs w:val="26"/>
        </w:rPr>
        <w:t xml:space="preserve">Brand-by-brand FSM map</w:t>
      </w:r>
    </w:p>
    <w:p>
      <w:pPr>
        <w:spacing w:after="80" w:before="80"/>
      </w:pPr>
      <w:r>
        <w:rPr>
          <w:rFonts w:ascii="Arial" w:cs="Arial" w:eastAsia="Arial" w:hAnsi="Arial"/>
          <w:sz w:val="22"/>
          <w:szCs w:val="22"/>
        </w:rPr>
        <w:t xml:space="preserve">Where each brand stands on FSM today, who pays for it, and how big the headwind is for displacement. Highlights where we have open territory vs where the incumbent is locked in.</w:t>
      </w:r>
    </w:p>
    <w:tbl>
      <w:tblPr>
        <w:tblW w:type="dxa" w:w="1078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1800"/>
        <w:gridCol w:w="1100"/>
        <w:gridCol w:w="950"/>
        <w:gridCol w:w="3330"/>
      </w:tblGrid>
      <w:tr>
        <w:trPr>
          <w:tblHeader/>
        </w:trPr>
        <w:tc>
          <w:tcPr>
            <w:tcW w:type="dxa" w:w="17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Brand</w:t>
            </w:r>
          </w:p>
        </w:tc>
        <w:tc>
          <w:tcPr>
            <w:tcW w:type="dxa" w:w="19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Current FSM</w:t>
            </w:r>
          </w:p>
        </w:tc>
        <w:tc>
          <w:tcPr>
            <w:tcW w:type="dxa" w:w="1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Mandate vs choice</w:t>
            </w:r>
          </w:p>
        </w:tc>
        <w:tc>
          <w:tcPr>
            <w:tcW w:type="dxa" w:w="11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Headwind</w:t>
            </w:r>
          </w:p>
        </w:tc>
        <w:tc>
          <w:tcPr>
            <w:tcW w:type="dxa" w:w="95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GPO</w:t>
            </w:r>
          </w:p>
        </w:tc>
        <w:tc>
          <w:tcPr>
            <w:tcW w:type="dxa" w:w="333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My read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That 1 Painter</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backend</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~380 units. Volume play. Painting vertical = lower platform stickiness. Best wedge brand.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BoxDrop Mattress</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backend</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Mattress retail/delivery. Specialty profile.</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Pink's Window Services</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backend</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Window cleaning. Smaller footprint.</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Sploosh</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backend</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Pressure washing. Small/emerging brand.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Patch Boys</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backend</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Drywall repair. Smaller specialty.</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ResiConnect (front-end only)</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ResiBrands proprietary</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Franchisor product (front-end)</w:t>
            </w:r>
          </w:p>
        </w:tc>
        <w:tc>
          <w:tcPr>
            <w:tcW w:type="dxa" w:w="11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95959"/>
                <w:sz w:val="16"/>
                <w:szCs w:val="16"/>
              </w:rPr>
              <w:t xml:space="preserve">NOT FSM</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Lead routing and customer intake. NOT FSM. ServiceBridge slots in cleanly behind ResiConnect — no displacement fight.</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Headwind shorthand: LOW = open territory · MEDIUM = displacement effort · HIGH = entrenched specialty · LOCKED = mandated incumbent · HARD CONFLICT = competing against existing GPSI partnership · OPPORTUNITY = potential integration angle · NOT FSM = different category, no conflict · TBD = headwind level not yet determined.</w:t>
      </w:r>
    </w:p>
    <w:p>
      <w:pPr>
        <w:pStyle w:val="Heading1"/>
        <w:spacing w:after="180" w:before="360"/>
      </w:pPr>
      <w:r>
        <w:rPr>
          <w:rFonts w:ascii="Arial" w:cs="Arial" w:eastAsia="Arial" w:hAnsi="Arial"/>
          <w:b/>
          <w:bCs/>
          <w:color w:val="1A2B3C"/>
          <w:sz w:val="32"/>
          <w:szCs w:val="32"/>
        </w:rPr>
        <w:t xml:space="preserve">📣 Marketing touches &amp; warm-up tactics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section exists</w:t>
            </w:r>
          </w:p>
          <w:p>
            <w:r>
              <w:rPr>
                <w:rFonts w:ascii="Arial" w:cs="Arial" w:eastAsia="Arial" w:hAnsi="Arial"/>
                <w:sz w:val="22"/>
                <w:szCs w:val="22"/>
              </w:rPr>
              <w:t xml:space="preserve">PE warm path is high-leverage but slow. We can't depend on KKR or Apax or MidOcean to schedule the meeting that gets us in. We need GPS Insight and ServiceBridge to be names franchisor leadership has heard before — multiple times, through multiple channels — by the time the warm path activates. This section is the framework for that. Marketing ownership sits with Marketing teammates; my read is here to give us a starting point.</w:t>
            </w:r>
          </w:p>
        </w:tc>
      </w:tr>
    </w:tbl>
    <w:p>
      <w:pPr>
        <w:pStyle w:val="Heading2"/>
        <w:spacing w:after="140" w:before="280"/>
      </w:pPr>
      <w:r>
        <w:rPr>
          <w:rFonts w:ascii="Arial" w:cs="Arial" w:eastAsia="Arial" w:hAnsi="Arial"/>
          <w:b/>
          <w:bCs/>
          <w:color w:val="185FA5"/>
          <w:sz w:val="26"/>
          <w:szCs w:val="26"/>
        </w:rPr>
        <w:t xml:space="preserve">The framework — 7 channels we should be working in parallel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Channel</w:t>
            </w:r>
          </w:p>
        </w:tc>
        <w:tc>
          <w:tcPr>
            <w:tcW w:type="dxa" w:w="6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it does for us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Event presence</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Show up where they show up. IFA Annual, franchisor annual conventions, vertical-specific industry events. Booth, sponsorship, or attendee — physical proximity matters.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LinkedIn engagement</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Authentic, sustained engagement with executive content. Not spammy comments — real engagement that demonstrates we understand their business. Build name recognition over months, not weeks.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Challenge coin / branded touch</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Tasteful, deliberate physical touches sent with personal notes. Not mass mailers — hand-delivered or hand-mailed to named executives. Signals 'we built something we care about,' not 'we want to sell you something.'</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Press / earned media</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Get GPS Insight + ServiceBridge into franchise industry publications they read. Franchise Times, Franchise Update, Entrepreneur Franchise, FranchiseWire. Plus vertical-specific trade press for franchisee-level reach.</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Mutual connections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Map who in our combined networks already touches their network. Mutual LinkedIn connections, ex-colleagues, industry friends. Quietly identify warm second-degree paths to executives.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Inbound franchisee signal</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If a franchisee inquires about ServiceBridge, that signal travels back upstream. Franchisee-level adoption creates pull at the franchisor level. We track these and use them deliberately.</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Sponsorships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Strategic sponsorship of franchisor events, IFA tracks, vertical conferences where target executives are speaking. Visibility plus credibility plus the chance to host a meeting on-site.</w:t>
            </w:r>
          </w:p>
        </w:tc>
      </w:tr>
    </w:tbl>
    <w:p>
      <w:pPr>
        <w:pStyle w:val="Heading2"/>
        <w:spacing w:after="140" w:before="280"/>
      </w:pPr>
      <w:r>
        <w:rPr>
          <w:rFonts w:ascii="Arial" w:cs="Arial" w:eastAsia="Arial" w:hAnsi="Arial"/>
          <w:b/>
          <w:bCs/>
          <w:color w:val="185FA5"/>
          <w:sz w:val="26"/>
          <w:szCs w:val="26"/>
        </w:rPr>
        <w:t xml:space="preserve">What I see for ResiBrands specifically</w:t>
      </w:r>
    </w:p>
    <w:p>
      <w:pPr>
        <w:spacing w:after="100" w:before="200"/>
      </w:pPr>
      <w:r>
        <w:rPr>
          <w:rFonts w:ascii="Arial" w:cs="Arial" w:eastAsia="Arial" w:hAnsi="Arial"/>
          <w:b/>
          <w:bCs/>
          <w:color w:val="1A2B3C"/>
          <w:sz w:val="22"/>
          <w:szCs w:val="22"/>
        </w:rPr>
        <w:t xml:space="preserve">Past events — what we can learn</w:t>
      </w:r>
    </w:p>
    <w:p>
      <w:pPr>
        <w:spacing w:after="80" w:before="80"/>
      </w:pPr>
      <w:r>
        <w:rPr>
          <w:rFonts w:ascii="Arial" w:cs="Arial" w:eastAsia="Arial" w:hAnsi="Arial"/>
          <w:sz w:val="22"/>
          <w:szCs w:val="22"/>
        </w:rPr>
        <w:t xml:space="preserve">If an event already happened, it's no longer an engagement priority. But we can still mine it for intel — vendor lists, recognized franchisees, leadership themes, who spoke on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2680"/>
        <w:gridCol w:w="268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Event</w:t>
            </w:r>
          </w:p>
        </w:tc>
        <w:tc>
          <w:tcPr>
            <w:tcW w:type="dxa" w:w="1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When</w:t>
            </w:r>
          </w:p>
        </w:tc>
        <w:tc>
          <w:tcPr>
            <w:tcW w:type="dxa" w:w="26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Context</w:t>
            </w:r>
          </w:p>
        </w:tc>
        <w:tc>
          <w:tcPr>
            <w:tcW w:type="dxa" w:w="26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we should look for</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Annual Convention 2026</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22-25 2026, Las Vegas</w:t>
            </w:r>
          </w:p>
        </w:tc>
        <w:tc>
          <w:tcPr>
            <w:tcW w:type="dxa" w:w="2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Steven Montgomery has growing IFA visibility.</w:t>
            </w:r>
          </w:p>
        </w:tc>
        <w:tc>
          <w:tcPr>
            <w:tcW w:type="dxa" w:w="268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Confirm whether Montgomery attended/spoke. ResiBrands at this size starts showing up in IFA emerging brand tracks.</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Upcoming events — where to engage</w:t>
      </w:r>
    </w:p>
    <w:p>
      <w:pPr>
        <w:spacing w:after="80" w:before="80"/>
      </w:pPr>
      <w:r>
        <w:rPr>
          <w:rFonts w:ascii="Arial" w:cs="Arial" w:eastAsia="Arial" w:hAnsi="Arial"/>
          <w:sz w:val="22"/>
          <w:szCs w:val="22"/>
        </w:rPr>
        <w:t xml:space="preserve">Where executives will be in the next 12 months. These are the actual engagement opportunities.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3560"/>
        <w:gridCol w:w="1200"/>
      </w:tblGrid>
      <w:tr>
        <w:trPr>
          <w:tblHeader/>
        </w:trPr>
        <w:tc>
          <w:tcPr>
            <w:tcW w:type="dxa" w:w="2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Event</w:t>
            </w:r>
          </w:p>
        </w:tc>
        <w:tc>
          <w:tcPr>
            <w:tcW w:type="dxa" w:w="1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When</w:t>
            </w:r>
          </w:p>
        </w:tc>
        <w:tc>
          <w:tcPr>
            <w:tcW w:type="dxa" w:w="35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Why it matters</w:t>
            </w:r>
          </w:p>
        </w:tc>
        <w:tc>
          <w:tcPr>
            <w:tcW w:type="dxa" w:w="1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Priority</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PCA EXPO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16-20, 2027 — New Orleans, LA</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PRIMARY EVENT — That 1 Painter (~380 units) franchisees attend. Painting Contractors Association is the right vertical channel. Direct franchisee-level outreach + ServiceBridge booth.</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Emerging Franchisor Conference 2026</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November 16-18, 2026 — Nashville, TN</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Steven Montgomery primary target. ResiBrands fits emerging franchisor profile perfectly. Sutton (Empower's CDO) is IFA Foundation Trustee — possible overlap opportunity.</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Annual Convention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22-24, 2027 — Mandalay Bay, Las Vegas</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Montgomery growing IFA visibility as ResiBrands scales. Reach him directly.</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Multi-Unit Franchising Conference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April 26-29, 2027 — Caesars Forum, Las Vegas</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Multi-unit That 1 Painter operators attend.</w:t>
            </w:r>
          </w:p>
        </w:tc>
        <w:tc>
          <w:tcPr>
            <w:tcW w:type="dxa" w:w="12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5"/>
                <w:szCs w:val="15"/>
              </w:rPr>
              <w:t xml:space="preserve">PRIORITY 2</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Emerging Franchisor Conference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November 15-17, 2027 — Nashville, TN</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Locked-in engagement opportunity 18+ months out. Sutton likely attendee (former chair, IFA Foundation Trustee).</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Executives to track</w:t>
      </w:r>
    </w:p>
    <w:p>
      <w:pPr>
        <w:spacing w:after="80" w:before="80"/>
      </w:pPr>
      <w:r>
        <w:rPr>
          <w:rFonts w:ascii="Arial" w:cs="Arial" w:eastAsia="Arial" w:hAnsi="Arial"/>
          <w:sz w:val="22"/>
          <w:szCs w:val="22"/>
        </w:rPr>
        <w:t xml:space="preserve">Where these executives speak, post, or appear publicly is a signal. We track their calendars and look for natural touchpoint opportunities.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Executive</w:t>
            </w:r>
          </w:p>
        </w:tc>
        <w:tc>
          <w:tcPr>
            <w:tcW w:type="dxa" w:w="63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Why we track them</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Steven Montgomery (Founder/CEO)</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SINGLE decision authority. His content, his speaking calendar = the entire roadmap. LinkedIn engagement here is highest leverage.</w:t>
            </w:r>
          </w:p>
        </w:tc>
      </w:tr>
    </w:tbl>
    <w:p>
      <w:pPr>
        <w:spacing w:after="100" w:before="200"/>
      </w:pPr>
      <w:r>
        <w:rPr>
          <w:rFonts w:ascii="Arial" w:cs="Arial" w:eastAsia="Arial" w:hAnsi="Arial"/>
          <w:b/>
          <w:bCs/>
          <w:color w:val="1A2B3C"/>
          <w:sz w:val="22"/>
          <w:szCs w:val="22"/>
        </w:rPr>
        <w:t xml:space="preserve">Specific tactics by channel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Channel</w:t>
            </w:r>
          </w:p>
        </w:tc>
        <w:tc>
          <w:tcPr>
            <w:tcW w:type="dxa" w:w="6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My read for ResiBrands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LinkedIn</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Montgomery is the entire decision tree. Direct, authentic LinkedIn engagement with his content. Comments that demonstrate understanding of franchise unit economics resonate. ServiceBridge content targeting founder-CEOs lands.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Press / earned media</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Painter-vertical trade press (PaintPRO, American Painting Contractor) for franchisee-level proof. Trivest-portfolio thought leadership for executive-level visibility.</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Challenge coin / branded</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Good fit. Single-founder franchisor = personal relationship matters. Coin + handwritten note delivered in person at IFA = memorable touch.</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Inbound franchisee signal</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That 1 Painter (~380 units) is the volume. Painter franchisees are price-sensitive but receptive to tools that drive route density. Inbound signal from That 1 Painter operators is high-leverage.</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Mutual connection mapping</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Trivest network, PCA painting industry connections, Texas franchise community (ResiBrands Austin-based). GPSI team likely has indirect paths.</w:t>
            </w:r>
          </w:p>
        </w:tc>
      </w:tr>
    </w:tbl>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What I'd land for marketing</w:t>
            </w:r>
          </w:p>
          <w:p>
            <w:r>
              <w:rPr>
                <w:rFonts w:ascii="Arial" w:cs="Arial" w:eastAsia="Arial" w:hAnsi="Arial"/>
                <w:sz w:val="22"/>
                <w:szCs w:val="22"/>
              </w:rPr>
              <w:t xml:space="preserve">Marketing teammates owns marketing execution. My read is we should be running 3-4 of these channels at any given time across each P1 — not all 7 channels for every target. The framework helps us pick the right combination given the warm path status, the engagement window, and what we already know about each franchisor's culture.</w:t>
            </w:r>
          </w:p>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Engagement scorecard — what we're learning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section exists</w:t>
            </w:r>
          </w:p>
          <w:p>
            <w:r>
              <w:rPr>
                <w:rFonts w:ascii="Arial" w:cs="Arial" w:eastAsia="Arial" w:hAnsi="Arial"/>
                <w:sz w:val="22"/>
                <w:szCs w:val="22"/>
              </w:rPr>
              <w:t xml:space="preserve">This is where we capture what actually happens when we engage ResiBrands. Every call, every LinkedIn touch, every signal — short note, what landed, what didn't, and what we change as a result. We test our assumptions on the live target, then update the rest of this package based on what we find. The package gets smarter as we go.</w:t>
            </w:r>
          </w:p>
        </w:tc>
      </w:tr>
    </w:tbl>
    <w:p>
      <w:pPr>
        <w:pStyle w:val="Heading2"/>
        <w:spacing w:after="140" w:before="280"/>
      </w:pPr>
      <w:r>
        <w:rPr>
          <w:rFonts w:ascii="Arial" w:cs="Arial" w:eastAsia="Arial" w:hAnsi="Arial"/>
          <w:b/>
          <w:bCs/>
          <w:color w:val="185FA5"/>
          <w:sz w:val="26"/>
          <w:szCs w:val="26"/>
        </w:rPr>
        <w:t xml:space="preserve">Package updates triggered by learnings</w:t>
      </w:r>
    </w:p>
    <w:p>
      <w:pPr>
        <w:spacing w:after="80" w:before="80"/>
      </w:pPr>
      <w:r>
        <w:rPr>
          <w:rFonts w:ascii="Arial" w:cs="Arial" w:eastAsia="Arial" w:hAnsi="Arial"/>
          <w:sz w:val="22"/>
          <w:szCs w:val="22"/>
        </w:rPr>
        <w:t xml:space="preserve">When a learning changes our approach, we update the relevant section of this package and note it here. Keeps the package live.</w:t>
      </w:r>
    </w:p>
    <w:tbl>
      <w:tblPr>
        <w:tblW w:type="dxa" w:w="1078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6580"/>
      </w:tblGrid>
      <w:tr>
        <w:trPr>
          <w:tblHeader/>
        </w:trPr>
        <w:tc>
          <w:tcPr>
            <w:tcW w:type="dxa" w:w="1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Date</w:t>
            </w:r>
          </w:p>
        </w:tc>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Section updated</w:t>
            </w:r>
          </w:p>
        </w:tc>
        <w:tc>
          <w:tcPr>
            <w:tcW w:type="dxa" w:w="65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changed</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bl>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How I plan to use this</w:t>
            </w:r>
          </w:p>
          <w:p>
            <w:r>
              <w:rPr>
                <w:rFonts w:ascii="Arial" w:cs="Arial" w:eastAsia="Arial" w:hAnsi="Arial"/>
                <w:sz w:val="22"/>
                <w:szCs w:val="22"/>
              </w:rPr>
              <w:t xml:space="preserve">My read is the readiness package isn't finished when we send it — it's a starting point. After every meaningful interaction with ResiBrands, I'll capture what we learned here. Before we move to the next P1, we'll review what worked and what didn't, and bring those lessons forward. The team's tribal knowledge fills in the gaps that research couldn't.</w:t>
            </w:r>
          </w:p>
        </w:tc>
      </w:tr>
    </w:tbl>
    <w:p>
      <w:pPr>
        <w:spacing w:after="80" w:before="200"/>
        <w:jc w:val="center"/>
      </w:pPr>
      <w:r>
        <w:rPr>
          <w:rFonts w:ascii="Arial" w:cs="Arial" w:eastAsia="Arial" w:hAnsi="Arial"/>
          <w:i/>
          <w:iCs/>
          <w:color w:val="888780"/>
          <w:sz w:val="18"/>
          <w:szCs w:val="18"/>
        </w:rPr>
        <w:t xml:space="preserve">— End of document —</w:t>
      </w:r>
    </w:p>
    <w:p>
      <w:pPr>
        <w:spacing w:after="40" w:before="40"/>
        <w:jc w:val="center"/>
      </w:pPr>
      <w:r>
        <w:rPr>
          <w:rFonts w:ascii="Arial" w:cs="Arial" w:eastAsia="Arial" w:hAnsi="Arial"/>
          <w:i/>
          <w:iCs/>
          <w:color w:val="888780"/>
          <w:sz w:val="16"/>
          <w:szCs w:val="16"/>
        </w:rPr>
        <w:t xml:space="preserve">Velocity GTM Co LLC  ·  ResiBrands GTM Engagement Readiness  ·  April 24,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780"/>
        <w:sz w:val="16"/>
        <w:szCs w:val="16"/>
      </w:rPr>
      <w:t xml:space="preserve">Velocity GTM Co LLC  ·  April 24, 2026  ·  Page </w:t>
    </w:r>
    <w:r>
      <w:rPr>
        <w:rFonts w:ascii="Arial" w:cs="Arial" w:eastAsia="Arial" w:hAnsi="Arial"/>
        <w:color w:val="8887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780"/>
        <w:sz w:val="16"/>
        <w:szCs w:val="16"/>
      </w:rPr>
      <w:t xml:space="preserve">RESIBRANDS · GTM ENGAGEMENT READINESS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A2B3C"/>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185FA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ResiBrands — GTM Engagement Readiness</dc:title>
  <dc:creator>Velocity GTM Co LLC</dc:creator>
  <cp:lastModifiedBy>Un-named</cp:lastModifiedBy>
  <cp:revision>1</cp:revision>
  <dcterms:created xsi:type="dcterms:W3CDTF">2026-04-27T19:00:07.926Z</dcterms:created>
  <dcterms:modified xsi:type="dcterms:W3CDTF">2026-04-27T19:00:07.926Z</dcterms:modified>
</cp:coreProperties>
</file>

<file path=docProps/custom.xml><?xml version="1.0" encoding="utf-8"?>
<Properties xmlns="http://schemas.openxmlformats.org/officeDocument/2006/custom-properties" xmlns:vt="http://schemas.openxmlformats.org/officeDocument/2006/docPropsVTypes"/>
</file>