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B7280"/>
          <w:sz w:val="16"/>
        </w:rPr>
        <w:t>VELOCITY GTM CO  ·  ServiceBridge GTM  ·  Evive Brands  ·  Track 2 P2 #2 NorthStar</w:t>
      </w:r>
    </w:p>
    <w:p>
      <w:pPr>
        <w:spacing w:after="40"/>
      </w:pPr>
      <w:r>
        <w:rPr>
          <w:rFonts w:ascii="Calibri" w:hAnsi="Calibri"/>
          <w:b/>
          <w:color w:val="1A2B3C"/>
          <w:sz w:val="44"/>
        </w:rPr>
        <w:t>Pacific Lawn Sprinklers</w:t>
      </w:r>
    </w:p>
    <w:p>
      <w:pPr>
        <w:spacing w:after="160"/>
      </w:pPr>
      <w:r>
        <w:rPr>
          <w:rFonts w:ascii="Calibri" w:hAnsi="Calibri"/>
          <w:b/>
          <w:color w:val="185FA5"/>
          <w:sz w:val="20"/>
        </w:rPr>
        <w:t>Score 88  ·  Tier T3  ·  Character: ★ NORTHSTAR · NEWEST EVIVE ACQUISITION (NOV 2025) · IRRIGATION VERTICAL</w:t>
      </w:r>
    </w:p>
    <w:p>
      <w:pPr>
        <w:spacing w:after="160"/>
        <w:pBdr>
          <w:bottom w:val="single" w:sz="8" w:color="185FA5"/>
        </w:pBdr>
      </w:pPr>
    </w:p>
    <w:p>
      <w:pPr>
        <w:spacing w:after="160"/>
      </w:pPr>
      <w:r>
        <w:rPr>
          <w:rFonts w:ascii="Calibri" w:hAnsi="Calibri"/>
          <w:i/>
          <w:color w:val="374151"/>
          <w:sz w:val="20"/>
        </w:rPr>
        <w:t>Irrigation, landscape lighting, holiday lighting, drainage · Founded 1980 by Dellafiora brothers · Acquired by Evive Nov 2025 · Mary Mahoney CEO · 80 service areas in 10 states</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LOCATIONS</w:t>
            </w:r>
          </w:p>
          <w:p>
            <w:pPr>
              <w:spacing w:after="0"/>
            </w:pPr>
            <w:r>
              <w:rPr>
                <w:rFonts w:ascii="Calibri" w:hAnsi="Calibri"/>
                <w:b/>
                <w:color w:val="1A2B3C"/>
                <w:sz w:val="22"/>
              </w:rPr>
              <w:t>80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TECHS / LOC</w:t>
            </w:r>
          </w:p>
          <w:p>
            <w:pPr>
              <w:spacing w:after="0"/>
            </w:pPr>
            <w:r>
              <w:rPr>
                <w:rFonts w:ascii="Calibri" w:hAnsi="Calibri"/>
                <w:b/>
                <w:color w:val="1A2B3C"/>
                <w:sz w:val="22"/>
              </w:rPr>
              <w:t>3</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TOTAL / ENGAGEABLE</w:t>
            </w:r>
          </w:p>
          <w:p>
            <w:pPr>
              <w:spacing w:after="0"/>
            </w:pPr>
            <w:r>
              <w:rPr>
                <w:rFonts w:ascii="Calibri" w:hAnsi="Calibri"/>
                <w:b/>
                <w:color w:val="1A2B3C"/>
                <w:sz w:val="22"/>
              </w:rPr>
              <w:t>240 / 240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Y1 ARR @ 10%</w:t>
            </w:r>
          </w:p>
          <w:p>
            <w:pPr>
              <w:spacing w:after="0"/>
            </w:pPr>
            <w:r>
              <w:rPr>
                <w:rFonts w:ascii="Calibri" w:hAnsi="Calibri"/>
                <w:b/>
                <w:color w:val="1A2B3C"/>
                <w:sz w:val="22"/>
              </w:rPr>
              <w:t>$7.2K</w:t>
            </w:r>
          </w:p>
        </w:tc>
      </w:tr>
    </w:tbl>
    <w:p>
      <w:pPr>
        <w:spacing w:after="80"/>
      </w:pPr>
    </w:p>
    <w:tbl>
      <w:tblPr>
        <w:tblW w:type="auto" w:w="0"/>
        <w:jc w:val="center"/>
        <w:tblLayout w:type="autofit"/>
        <w:tblLook w:firstColumn="1" w:firstRow="1" w:lastColumn="0" w:lastRow="0" w:noHBand="0" w:noVBand="1" w:val="04A0"/>
      </w:tblPr>
      <w:tblGrid>
        <w:gridCol w:w="10080"/>
      </w:tblGrid>
      <w:tr>
        <w:tc>
          <w:tcPr>
            <w:tcW w:type="dxa" w:w="10080"/>
            <w:shd w:val="clear" w:color="auto" w:fill="FFF8E1"/>
            <w:tcBorders>
              <w:top w:val="single" w:sz="6" w:color="B8860B"/>
              <w:left w:val="single" w:sz="6" w:color="B8860B"/>
              <w:bottom w:val="single" w:sz="6" w:color="B8860B"/>
              <w:right w:val="single" w:sz="6" w:color="B8860B"/>
            </w:tcBorders>
          </w:tcPr>
          <w:p>
            <w:pPr>
              <w:spacing w:after="80"/>
            </w:pPr>
            <w:r>
              <w:rPr>
                <w:rFonts w:ascii="Calibri" w:hAnsi="Calibri"/>
                <w:b/>
                <w:color w:val="B8860B"/>
                <w:sz w:val="18"/>
              </w:rPr>
              <w:t>MY READ</w:t>
            </w:r>
          </w:p>
          <w:p>
            <w:pPr>
              <w:spacing w:after="120"/>
            </w:pPr>
            <w:r>
              <w:rPr>
                <w:rFonts w:ascii="Calibri" w:hAnsi="Calibri"/>
                <w:b/>
                <w:color w:val="1A2B3C"/>
                <w:sz w:val="24"/>
              </w:rPr>
              <w:t>Pacific Lawn Sprinklers joined Evive in November 2025 — only ~6 months in the portfolio by mid-2026. Newest acquisition = newest tooling decisions. Conserva Irrigation analog at Empower (T5 NorthStar at 61).</w:t>
            </w:r>
          </w:p>
          <w:p>
            <w:pPr>
              <w:spacing w:after="80" w:line="312" w:lineRule="auto"/>
            </w:pPr>
            <w:r>
              <w:rPr>
                <w:rFonts w:ascii="Calibri" w:hAnsi="Calibri"/>
                <w:color w:val="374151"/>
                <w:sz w:val="20"/>
              </w:rPr>
              <w:t>Pacific Lawn Sprinklers joined Evive in November 2025 — the most recent Evive acquisition. Founded 1980 by John Dellafiora and brothers in Queens, New York. Now headquartered in Fort Lauderdale, Florida. 80 service areas in 10 states. Began franchising in 2004. Serves more than 57,000 active customers annually. Per the Nov 2025 acquisition release: Mary Mahoney is CEO of Pacific Lawn Sprinklers, John Dellafiora is founder/owner — both retained operationally.</w:t>
            </w:r>
          </w:p>
          <w:p>
            <w:pPr>
              <w:spacing w:after="80" w:line="312" w:lineRule="auto"/>
            </w:pPr>
            <w:r>
              <w:rPr>
                <w:rFonts w:ascii="Calibri" w:hAnsi="Calibri"/>
                <w:color w:val="374151"/>
                <w:sz w:val="20"/>
              </w:rPr>
              <w:t>From a ServiceBridge fit perspective, this is the Conserva Irrigation analog at Empower Brands (which scored T5 NorthStar at 61 in the matrix v2). Same operational profile: irrigation install + maintenance routes, seasonal start-up/winterization cycles, 2-3 person crews, residential + commercial mix. The score at Pacific Lawn (88) is higher because of the NorthStar P2 status and the Evive parent context — Ryan Parsons' direct relationship is the wedge advantage that Conserva doesn't have.</w:t>
            </w:r>
          </w:p>
          <w:p>
            <w:pPr>
              <w:spacing w:after="80" w:line="312" w:lineRule="auto"/>
            </w:pPr>
            <w:r>
              <w:rPr>
                <w:rFonts w:ascii="Calibri" w:hAnsi="Calibri"/>
                <w:color w:val="374151"/>
                <w:sz w:val="20"/>
              </w:rPr>
              <w:t>Strategic position: Pacific Lawn is small individually (80 locs · 240 techs · $7.2K Y1 ARR) but high-leverage as proof point because (a) freshest acquisition = most open posture, (b) John Dellafiora founder retained, (c) Mary Mahoney CEO retained. Win this brand quickly = operator-credibility evidence Ryan can use to accelerate the rest of the portfolio.</w:t>
            </w:r>
          </w:p>
        </w:tc>
      </w:tr>
    </w:tbl>
    <w:p>
      <w:pPr>
        <w:spacing w:after="80"/>
      </w:pPr>
    </w:p>
    <w:p>
      <w:pPr>
        <w:spacing w:before="160" w:after="80"/>
      </w:pPr>
      <w:r>
        <w:rPr>
          <w:rFonts w:ascii="Calibri" w:hAnsi="Calibri"/>
          <w:b/>
          <w:color w:val="1A2B3C"/>
          <w:sz w:val="26"/>
        </w:rPr>
        <w:t>DIMENSION SCORING  ·  6 LENSES</w:t>
      </w:r>
    </w:p>
    <w:tbl>
      <w:tblPr>
        <w:tblW w:type="auto" w:w="0"/>
        <w:jc w:val="center"/>
        <w:tblLook w:firstColumn="1" w:firstRow="1" w:lastColumn="0" w:lastRow="0" w:noHBand="0" w:noVBand="1" w:val="04A0"/>
      </w:tblPr>
      <w:tblGrid>
        <w:gridCol w:w="3360"/>
        <w:gridCol w:w="3360"/>
        <w:gridCol w:w="3360"/>
      </w:tblGrid>
      <w:tr>
        <w:tc>
          <w:tcPr>
            <w:tcW w:type="dxa" w:w="201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DIMENSION</w:t>
            </w:r>
          </w:p>
        </w:tc>
        <w:tc>
          <w:tcPr>
            <w:tcW w:type="dxa" w:w="129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FLAG</w:t>
            </w:r>
          </w:p>
        </w:tc>
        <w:tc>
          <w:tcPr>
            <w:tcW w:type="dxa" w:w="6768"/>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NARRATIVE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Greenfield Posture</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Not ST-mandated. Newest Evive acquisition (Nov 2025) — under 6 months. Hasn't standardized FSM. Pure greenfield.</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Persona Access</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Mary Mahoney (CEO Pacific Lawn, retained at acquisition). John Dellafiora (Founder/Owner, retained). Ryan Parsons cross-brand authority.</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Commercial / Consumer Mix</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Mixed — residential homeowner irrigation + commercial property contracts (HOA, multi-family, golf course, light commercial). Recurring service routes (start-up, mid-season, winterization). Project work (new system installs).</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BPO in place</w:t>
            </w:r>
          </w:p>
        </w:tc>
        <w:tc>
          <w:tcPr>
            <w:tcW w:type="dxa" w:w="1296"/>
            <w:tcBorders>
              <w:top w:val="single" w:sz="4" w:color="CCCCCC"/>
              <w:left w:val="single" w:sz="4" w:color="CCCCCC"/>
              <w:bottom w:val="single" w:sz="4" w:color="CCCCCC"/>
              <w:right w:val="single" w:sz="4" w:color="CCCCCC"/>
            </w:tcBorders>
            <w:shd w:val="clear" w:color="auto" w:fill="FFF1E0"/>
          </w:tcPr>
          <w:p>
            <w:pPr>
              <w:spacing w:after="0"/>
              <w:jc w:val="center"/>
            </w:pPr>
            <w:r>
              <w:rPr>
                <w:rFonts w:ascii="Calibri" w:hAnsi="Calibri"/>
                <w:b/>
                <w:color w:val="C25E1A"/>
                <w:sz w:val="18"/>
              </w:rPr>
              <w:t>CAUTION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Evive corporate marketing + franchise support. Brand-level dispatch BPO unclear at this stage of integration.</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QuickBooks deployed</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Irrigation franchisees = typical QB users.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Events attended</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Evive Brands Summit. IA (Irrigation Association) Show. Lawn industry events. NALP ELEVATE.</w:t>
            </w:r>
          </w:p>
        </w:tc>
      </w:tr>
    </w:tbl>
    <w:p>
      <w:pPr>
        <w:spacing w:after="80"/>
      </w:pPr>
    </w:p>
    <w:p>
      <w:pPr>
        <w:spacing w:before="160" w:after="80"/>
      </w:pPr>
      <w:r>
        <w:rPr>
          <w:rFonts w:ascii="Calibri" w:hAnsi="Calibri"/>
          <w:b/>
          <w:color w:val="1A2B3C"/>
          <w:sz w:val="26"/>
        </w:rPr>
        <w:t>WHAT WE'D LEVERAGE  ·  WHAT WE'D CHALLENGE</w:t>
      </w:r>
    </w:p>
    <w:tbl>
      <w:tblPr>
        <w:tblW w:type="auto" w:w="0"/>
        <w:jc w:val="center"/>
        <w:tblLook w:firstColumn="1" w:firstRow="1" w:lastColumn="0" w:lastRow="0" w:noHBand="0" w:noVBand="1" w:val="04A0"/>
      </w:tblPr>
      <w:tblGrid>
        <w:gridCol w:w="5040"/>
        <w:gridCol w:w="5040"/>
      </w:tblGrid>
      <w:tr>
        <w:tc>
          <w:tcPr>
            <w:tcW w:type="dxa" w:w="5040"/>
            <w:shd w:val="clear" w:color="auto" w:fill="E8F4EE"/>
            <w:tcBorders>
              <w:top w:val="single" w:sz="6" w:color="2D6A4F"/>
              <w:left w:val="single" w:sz="6" w:color="2D6A4F"/>
              <w:bottom w:val="single" w:sz="6" w:color="2D6A4F"/>
              <w:right w:val="single" w:sz="6" w:color="2D6A4F"/>
            </w:tcBorders>
          </w:tcPr>
          <w:p>
            <w:pPr>
              <w:spacing w:after="0"/>
            </w:pPr>
            <w:r>
              <w:rPr>
                <w:rFonts w:ascii="Calibri" w:hAnsi="Calibri"/>
                <w:b/>
                <w:color w:val="2D6A4F"/>
                <w:sz w:val="20"/>
              </w:rPr>
              <w:t>WHAT WE'D LEVERAGE</w:t>
            </w:r>
          </w:p>
        </w:tc>
        <w:tc>
          <w:tcPr>
            <w:tcW w:type="dxa" w:w="5040"/>
            <w:shd w:val="clear" w:color="auto" w:fill="F4D9D9"/>
            <w:tcBorders>
              <w:top w:val="single" w:sz="6" w:color="A32D2D"/>
              <w:left w:val="single" w:sz="6" w:color="A32D2D"/>
              <w:bottom w:val="single" w:sz="6" w:color="A32D2D"/>
              <w:right w:val="single" w:sz="6" w:color="A32D2D"/>
            </w:tcBorders>
          </w:tcPr>
          <w:p>
            <w:pPr>
              <w:spacing w:after="0"/>
            </w:pPr>
            <w:r>
              <w:rPr>
                <w:rFonts w:ascii="Calibri" w:hAnsi="Calibri"/>
                <w:b/>
                <w:color w:val="A32D2D"/>
                <w:sz w:val="20"/>
              </w:rPr>
              <w:t>WHAT WE'D CHALLENGE</w:t>
            </w:r>
          </w:p>
        </w:tc>
      </w:tr>
      <w:tr>
        <w:tc>
          <w:tcPr>
            <w:tcW w:type="dxa" w:w="5040"/>
            <w:tcBorders>
              <w:top w:val="single" w:sz="4" w:color="2D6A4F"/>
              <w:left w:val="single" w:sz="4" w:color="2D6A4F"/>
              <w:bottom w:val="single" w:sz="4" w:color="2D6A4F"/>
              <w:right w:val="single" w:sz="4" w:color="2D6A4F"/>
            </w:tcBorders>
          </w:tcPr>
          <w:p>
            <w:pPr>
              <w:spacing w:after="0"/>
            </w:pPr>
            <w:r/>
          </w:p>
          <w:p>
            <w:pPr>
              <w:spacing w:after="60"/>
              <w:ind w:left="144"/>
            </w:pPr>
            <w:r>
              <w:rPr>
                <w:rFonts w:ascii="Calibri" w:hAnsi="Calibri"/>
                <w:b/>
                <w:color w:val="2D6A4F"/>
                <w:sz w:val="20"/>
              </w:rPr>
              <w:t xml:space="preserve">▸ </w:t>
            </w:r>
            <w:r>
              <w:rPr>
                <w:rFonts w:ascii="Calibri" w:hAnsi="Calibri"/>
                <w:color w:val="374151"/>
                <w:sz w:val="18"/>
              </w:rPr>
              <w:t>Newest Evive acquisition (Nov 2025). Most open tooling posture in portfolio.</w:t>
            </w:r>
          </w:p>
          <w:p>
            <w:pPr>
              <w:spacing w:after="60"/>
              <w:ind w:left="144"/>
            </w:pPr>
            <w:r>
              <w:rPr>
                <w:rFonts w:ascii="Calibri" w:hAnsi="Calibri"/>
                <w:b/>
                <w:color w:val="2D6A4F"/>
                <w:sz w:val="20"/>
              </w:rPr>
              <w:t xml:space="preserve">▸ </w:t>
            </w:r>
            <w:r>
              <w:rPr>
                <w:rFonts w:ascii="Calibri" w:hAnsi="Calibri"/>
                <w:color w:val="374151"/>
                <w:sz w:val="18"/>
              </w:rPr>
              <w:t>John Dellafiora founder retained. Founder credibility.</w:t>
            </w:r>
          </w:p>
          <w:p>
            <w:pPr>
              <w:spacing w:after="60"/>
              <w:ind w:left="144"/>
            </w:pPr>
            <w:r>
              <w:rPr>
                <w:rFonts w:ascii="Calibri" w:hAnsi="Calibri"/>
                <w:b/>
                <w:color w:val="2D6A4F"/>
                <w:sz w:val="20"/>
              </w:rPr>
              <w:t xml:space="preserve">▸ </w:t>
            </w:r>
            <w:r>
              <w:rPr>
                <w:rFonts w:ascii="Calibri" w:hAnsi="Calibri"/>
                <w:color w:val="374151"/>
                <w:sz w:val="18"/>
              </w:rPr>
              <w:t>Mary Mahoney CEO retained. Operational continuity = receptive evaluator.</w:t>
            </w:r>
          </w:p>
          <w:p>
            <w:pPr>
              <w:spacing w:after="60"/>
              <w:ind w:left="144"/>
            </w:pPr>
            <w:r>
              <w:rPr>
                <w:rFonts w:ascii="Calibri" w:hAnsi="Calibri"/>
                <w:b/>
                <w:color w:val="2D6A4F"/>
                <w:sz w:val="20"/>
              </w:rPr>
              <w:t xml:space="preserve">▸ </w:t>
            </w:r>
            <w:r>
              <w:rPr>
                <w:rFonts w:ascii="Calibri" w:hAnsi="Calibri"/>
                <w:color w:val="374151"/>
                <w:sz w:val="18"/>
              </w:rPr>
              <w:t>Ryan Parsons cross-brand path. Brothers Gutters proof transfers.</w:t>
            </w:r>
          </w:p>
          <w:p>
            <w:pPr>
              <w:spacing w:after="60"/>
              <w:ind w:left="144"/>
            </w:pPr>
            <w:r>
              <w:rPr>
                <w:rFonts w:ascii="Calibri" w:hAnsi="Calibri"/>
                <w:b/>
                <w:color w:val="2D6A4F"/>
                <w:sz w:val="20"/>
              </w:rPr>
              <w:t xml:space="preserve">▸ </w:t>
            </w:r>
            <w:r>
              <w:rPr>
                <w:rFonts w:ascii="Calibri" w:hAnsi="Calibri"/>
                <w:color w:val="374151"/>
                <w:sz w:val="18"/>
              </w:rPr>
              <w:t>Conserva Irrigation analog. Vertical pattern works.</w:t>
            </w:r>
          </w:p>
          <w:p>
            <w:pPr>
              <w:spacing w:after="60"/>
              <w:ind w:left="144"/>
            </w:pPr>
            <w:r>
              <w:rPr>
                <w:rFonts w:ascii="Calibri" w:hAnsi="Calibri"/>
                <w:b/>
                <w:color w:val="2D6A4F"/>
                <w:sz w:val="20"/>
              </w:rPr>
              <w:t xml:space="preserve">▸ </w:t>
            </w:r>
            <w:r>
              <w:rPr>
                <w:rFonts w:ascii="Calibri" w:hAnsi="Calibri"/>
                <w:color w:val="374151"/>
                <w:sz w:val="18"/>
              </w:rPr>
              <w:t>57,000+ active customers. Customer database ready for FSM transition.</w:t>
            </w:r>
          </w:p>
        </w:tc>
        <w:tc>
          <w:tcPr>
            <w:tcW w:type="dxa" w:w="5040"/>
            <w:tcBorders>
              <w:top w:val="single" w:sz="4" w:color="A32D2D"/>
              <w:left w:val="single" w:sz="4" w:color="A32D2D"/>
              <w:bottom w:val="single" w:sz="4" w:color="A32D2D"/>
              <w:right w:val="single" w:sz="4" w:color="A32D2D"/>
            </w:tcBorders>
          </w:tcPr>
          <w:p>
            <w:pPr>
              <w:spacing w:after="0"/>
            </w:pPr>
            <w:r/>
          </w:p>
          <w:p>
            <w:pPr>
              <w:spacing w:after="60"/>
              <w:ind w:left="144"/>
            </w:pPr>
            <w:r>
              <w:rPr>
                <w:rFonts w:ascii="Calibri" w:hAnsi="Calibri"/>
                <w:b/>
                <w:color w:val="A32D2D"/>
                <w:sz w:val="20"/>
              </w:rPr>
              <w:t xml:space="preserve">▸ </w:t>
            </w:r>
            <w:r>
              <w:rPr>
                <w:rFonts w:ascii="Calibri" w:hAnsi="Calibri"/>
                <w:color w:val="374151"/>
                <w:sz w:val="18"/>
              </w:rPr>
              <w:t>Smallest individual scale in Evive. 80 locs · 240 techs · $7.2K Y1.</w:t>
            </w:r>
          </w:p>
          <w:p>
            <w:pPr>
              <w:spacing w:after="60"/>
              <w:ind w:left="144"/>
            </w:pPr>
            <w:r>
              <w:rPr>
                <w:rFonts w:ascii="Calibri" w:hAnsi="Calibri"/>
                <w:b/>
                <w:color w:val="A32D2D"/>
                <w:sz w:val="20"/>
              </w:rPr>
              <w:t xml:space="preserve">▸ </w:t>
            </w:r>
            <w:r>
              <w:rPr>
                <w:rFonts w:ascii="Calibri" w:hAnsi="Calibri"/>
                <w:color w:val="374151"/>
                <w:sz w:val="18"/>
              </w:rPr>
              <w:t>Irrigation-specific software. Hydrawise (Hunter), Rachio Pro target irrigation.</w:t>
            </w:r>
          </w:p>
          <w:p>
            <w:pPr>
              <w:spacing w:after="60"/>
              <w:ind w:left="144"/>
            </w:pPr>
            <w:r>
              <w:rPr>
                <w:rFonts w:ascii="Calibri" w:hAnsi="Calibri"/>
                <w:b/>
                <w:color w:val="A32D2D"/>
                <w:sz w:val="20"/>
              </w:rPr>
              <w:t xml:space="preserve">▸ </w:t>
            </w:r>
            <w:r>
              <w:rPr>
                <w:rFonts w:ascii="Calibri" w:hAnsi="Calibri"/>
                <w:color w:val="374151"/>
                <w:sz w:val="18"/>
              </w:rPr>
              <w:t>Seasonal demand variance. Northern markets seasonal; Florida year-round.</w:t>
            </w:r>
          </w:p>
          <w:p>
            <w:pPr>
              <w:spacing w:after="60"/>
              <w:ind w:left="144"/>
            </w:pPr>
            <w:r>
              <w:rPr>
                <w:rFonts w:ascii="Calibri" w:hAnsi="Calibri"/>
                <w:b/>
                <w:color w:val="A32D2D"/>
                <w:sz w:val="20"/>
              </w:rPr>
              <w:t xml:space="preserve">▸ </w:t>
            </w:r>
            <w:r>
              <w:rPr>
                <w:rFonts w:ascii="Calibri" w:hAnsi="Calibri"/>
                <w:color w:val="374151"/>
                <w:sz w:val="18"/>
              </w:rPr>
              <w:t>Specialty equipment tracking. Sprinkler heads, valves, controllers — inventory complexity.</w:t>
            </w:r>
          </w:p>
          <w:p>
            <w:pPr>
              <w:spacing w:after="60"/>
              <w:ind w:left="144"/>
            </w:pPr>
            <w:r>
              <w:rPr>
                <w:rFonts w:ascii="Calibri" w:hAnsi="Calibri"/>
                <w:b/>
                <w:color w:val="A32D2D"/>
                <w:sz w:val="20"/>
              </w:rPr>
              <w:t xml:space="preserve">▸ </w:t>
            </w:r>
            <w:r>
              <w:rPr>
                <w:rFonts w:ascii="Calibri" w:hAnsi="Calibri"/>
                <w:color w:val="374151"/>
                <w:sz w:val="18"/>
              </w:rPr>
              <w:t>Brand still scaling franchise model. 80 service areas vs. 280 at Maid Brigade.</w:t>
            </w:r>
          </w:p>
        </w:tc>
      </w:tr>
    </w:tbl>
    <w:p>
      <w:pPr>
        <w:spacing w:after="80"/>
      </w:pPr>
    </w:p>
    <w:p>
      <w:pPr>
        <w:spacing w:before="160" w:after="80"/>
      </w:pPr>
      <w:r>
        <w:rPr>
          <w:rFonts w:ascii="Calibri" w:hAnsi="Calibri"/>
          <w:b/>
          <w:color w:val="1A2B3C"/>
          <w:sz w:val="26"/>
        </w:rPr>
        <w:t>PERSONA MAP</w:t>
      </w:r>
    </w:p>
    <w:tbl>
      <w:tblPr>
        <w:tblW w:type="auto" w:w="0"/>
        <w:jc w:val="center"/>
        <w:tblLook w:firstColumn="1" w:firstRow="1" w:lastColumn="0" w:lastRow="0" w:noHBand="0" w:noVBand="1" w:val="04A0"/>
      </w:tblPr>
      <w:tblGrid>
        <w:gridCol w:w="3360"/>
        <w:gridCol w:w="3360"/>
        <w:gridCol w:w="3360"/>
      </w:tblGrid>
      <w:tr>
        <w:tc>
          <w:tcPr>
            <w:tcW w:type="dxa" w:w="288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NAME &amp; ROLE</w:t>
            </w:r>
          </w:p>
        </w:tc>
        <w:tc>
          <w:tcPr>
            <w:tcW w:type="dxa" w:w="504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WHY THEY MATTER</w:t>
            </w:r>
          </w:p>
        </w:tc>
        <w:tc>
          <w:tcPr>
            <w:tcW w:type="dxa" w:w="216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Mary Mahoney</w:t>
            </w:r>
          </w:p>
          <w:p>
            <w:pPr>
              <w:spacing w:after="0"/>
            </w:pPr>
            <w:r>
              <w:rPr>
                <w:rFonts w:ascii="Calibri" w:hAnsi="Calibri"/>
                <w:color w:val="6B7280"/>
                <w:sz w:val="16"/>
              </w:rPr>
              <w:t>CEO · Pacific Lawn Sprinklers (retained)</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Operational continuity post-acquisition. Direct decision authority.</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CEO 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John Dellafiora</w:t>
            </w:r>
          </w:p>
          <w:p>
            <w:pPr>
              <w:spacing w:after="0"/>
            </w:pPr>
            <w:r>
              <w:rPr>
                <w:rFonts w:ascii="Calibri" w:hAnsi="Calibri"/>
                <w:color w:val="6B7280"/>
                <w:sz w:val="16"/>
              </w:rPr>
              <w:t>Founder/Owner · Pacific Lawn Sprinklers</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Founder, retained. Credibility on operational tooling decisions.</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Founder warm</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Ryan Parsons</w:t>
            </w:r>
          </w:p>
          <w:p>
            <w:pPr>
              <w:spacing w:after="0"/>
            </w:pPr>
            <w:r>
              <w:rPr>
                <w:rFonts w:ascii="Calibri" w:hAnsi="Calibri"/>
                <w:color w:val="6B7280"/>
                <w:sz w:val="16"/>
              </w:rPr>
              <w:t>CEO · Evive Brands</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Cross-brand authority.</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CEO direct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Brandi Kloostra</w:t>
            </w:r>
          </w:p>
          <w:p>
            <w:pPr>
              <w:spacing w:after="0"/>
            </w:pPr>
            <w:r>
              <w:rPr>
                <w:rFonts w:ascii="Calibri" w:hAnsi="Calibri"/>
                <w:color w:val="6B7280"/>
                <w:sz w:val="16"/>
              </w:rPr>
              <w:t>SVP Marketing · Evive</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Cross-brand marketing.</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C25E1A"/>
                <w:sz w:val="18"/>
              </w:rPr>
              <w:t>LinkedIn primary</w:t>
            </w:r>
          </w:p>
        </w:tc>
      </w:tr>
    </w:tbl>
    <w:p>
      <w:pPr>
        <w:spacing w:after="80"/>
      </w:pPr>
    </w:p>
    <w:p>
      <w:pPr>
        <w:spacing w:before="160" w:after="80"/>
      </w:pPr>
      <w:r>
        <w:rPr>
          <w:rFonts w:ascii="Calibri" w:hAnsi="Calibri"/>
          <w:b/>
          <w:color w:val="1A2B3C"/>
          <w:sz w:val="26"/>
        </w:rPr>
        <w:t>EVENTS TO ENGAGE</w:t>
      </w:r>
    </w:p>
    <w:p>
      <w:pPr>
        <w:spacing w:after="40"/>
        <w:ind w:left="144"/>
      </w:pPr>
      <w:r>
        <w:rPr>
          <w:rFonts w:ascii="Calibri" w:hAnsi="Calibri"/>
          <w:b/>
          <w:color w:val="185FA5"/>
          <w:sz w:val="18"/>
        </w:rPr>
        <w:t xml:space="preserve">Annual  ·  </w:t>
      </w:r>
      <w:r>
        <w:rPr>
          <w:rFonts w:ascii="Calibri" w:hAnsi="Calibri"/>
          <w:b/>
          <w:color w:val="1A2B3C"/>
          <w:sz w:val="20"/>
        </w:rPr>
        <w:t>Evive Brands Summit</w:t>
      </w:r>
    </w:p>
    <w:p>
      <w:pPr>
        <w:spacing w:after="80"/>
        <w:ind w:left="576"/>
      </w:pPr>
      <w:r>
        <w:rPr>
          <w:rFonts w:ascii="Calibri" w:hAnsi="Calibri"/>
          <w:color w:val="374151"/>
          <w:sz w:val="18"/>
        </w:rPr>
        <w:t>Single-room access.</w:t>
      </w:r>
    </w:p>
    <w:p>
      <w:pPr>
        <w:spacing w:after="40"/>
        <w:ind w:left="144"/>
      </w:pPr>
      <w:r>
        <w:rPr>
          <w:rFonts w:ascii="Calibri" w:hAnsi="Calibri"/>
          <w:b/>
          <w:color w:val="185FA5"/>
          <w:sz w:val="18"/>
        </w:rPr>
        <w:t xml:space="preserve">Annual (Nov)  ·  </w:t>
      </w:r>
      <w:r>
        <w:rPr>
          <w:rFonts w:ascii="Calibri" w:hAnsi="Calibri"/>
          <w:b/>
          <w:color w:val="1A2B3C"/>
          <w:sz w:val="20"/>
        </w:rPr>
        <w:t>Irrigation Show (IA)</w:t>
      </w:r>
    </w:p>
    <w:p>
      <w:pPr>
        <w:spacing w:after="80"/>
        <w:ind w:left="576"/>
      </w:pPr>
      <w:r>
        <w:rPr>
          <w:rFonts w:ascii="Calibri" w:hAnsi="Calibri"/>
          <w:color w:val="374151"/>
          <w:sz w:val="18"/>
        </w:rPr>
        <w:t>Irrigation Association annual.</w:t>
      </w:r>
    </w:p>
    <w:p>
      <w:pPr>
        <w:spacing w:after="40"/>
        <w:ind w:left="144"/>
      </w:pPr>
      <w:r>
        <w:rPr>
          <w:rFonts w:ascii="Calibri" w:hAnsi="Calibri"/>
          <w:b/>
          <w:color w:val="185FA5"/>
          <w:sz w:val="18"/>
        </w:rPr>
        <w:t xml:space="preserve">Oct (annual)  ·  </w:t>
      </w:r>
      <w:r>
        <w:rPr>
          <w:rFonts w:ascii="Calibri" w:hAnsi="Calibri"/>
          <w:b/>
          <w:color w:val="1A2B3C"/>
          <w:sz w:val="20"/>
        </w:rPr>
        <w:t>GIE+EXPO Louisville</w:t>
      </w:r>
    </w:p>
    <w:p>
      <w:pPr>
        <w:spacing w:after="80"/>
        <w:ind w:left="576"/>
      </w:pPr>
      <w:r>
        <w:rPr>
          <w:rFonts w:ascii="Calibri" w:hAnsi="Calibri"/>
          <w:color w:val="374151"/>
          <w:sz w:val="18"/>
        </w:rPr>
        <w:t>Outdoor industry expo.</w:t>
      </w:r>
    </w:p>
    <w:p>
      <w:pPr>
        <w:spacing w:before="160" w:after="80"/>
      </w:pPr>
      <w:r>
        <w:rPr>
          <w:rFonts w:ascii="Calibri" w:hAnsi="Calibri"/>
          <w:b/>
          <w:color w:val="6B7280"/>
          <w:sz w:val="22"/>
        </w:rPr>
        <w:t>HOW WE SCORED THIS</w:t>
      </w:r>
    </w:p>
    <w:p>
      <w:pPr>
        <w:spacing w:after="120" w:line="300" w:lineRule="auto"/>
      </w:pPr>
      <w:r>
        <w:rPr>
          <w:rFonts w:ascii="Calibri" w:hAnsi="Calibri"/>
          <w:i/>
          <w:color w:val="374151"/>
          <w:sz w:val="20"/>
        </w:rPr>
        <w:t>Score 88 (T3 NorthStar) per Track 2 v2 matrix. Drivers: newest Evive acquisition (Nov 2025), founder + CEO both retained, Ryan Parsons cross-brand wedge, Conserva Irrigation analog at Empower validates vertical fit. Reduced by smallest scale in Evive cohort, irrigation-specific SaaS niche tools. Evive parent +25 NorthStar bonus.</w:t>
      </w:r>
    </w:p>
    <w:p>
      <w:pPr>
        <w:spacing w:before="160" w:after="80"/>
      </w:pPr>
      <w:r>
        <w:rPr>
          <w:rFonts w:ascii="Calibri" w:hAnsi="Calibri"/>
          <w:b/>
          <w:color w:val="1A2B3C"/>
          <w:sz w:val="22"/>
        </w:rPr>
        <w:t>SIGN-OFF &amp; NEXT STEPS</w:t>
      </w:r>
    </w:p>
    <w:tbl>
      <w:tblPr>
        <w:tblW w:type="auto" w:w="0"/>
        <w:jc w:val="center"/>
        <w:tblLook w:firstColumn="1" w:firstRow="1" w:lastColumn="0" w:lastRow="0" w:noHBand="0" w:noVBand="1" w:val="04A0"/>
      </w:tblPr>
      <w:tblGrid>
        <w:gridCol w:w="5040"/>
        <w:gridCol w:w="5040"/>
      </w:tblGrid>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Owner</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Mike Flynt · Velocity GTM Co LLC</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GPSI Coordination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Andrea Rowan (GM ServiceBridge), Charles Layne (CEO), Garrett Else (CFO)</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Source of truth</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Track 2 P1+P2 Brand Priority Matrix v2 · CRM v15.6 · Evive Brands parent context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Document version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v1.0 · May 1, 2026 · ServiceBridge GTM Engagement</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