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6B7280"/>
          <w:sz w:val="16"/>
        </w:rPr>
        <w:t>VELOCITY GTM CO  ·  ServiceBridge GTM  ·  Threshold Brands  ·  Track 2 P2 #3 NorthStar</w:t>
      </w:r>
    </w:p>
    <w:p>
      <w:pPr>
        <w:spacing w:after="40"/>
      </w:pPr>
      <w:r>
        <w:rPr>
          <w:rFonts w:ascii="Calibri" w:hAnsi="Calibri"/>
          <w:b/>
          <w:color w:val="1A2B3C"/>
          <w:sz w:val="44"/>
        </w:rPr>
        <w:t>Pestmaster Services</w:t>
      </w:r>
    </w:p>
    <w:p>
      <w:pPr>
        <w:spacing w:after="160"/>
      </w:pPr>
      <w:r>
        <w:rPr>
          <w:rFonts w:ascii="Calibri" w:hAnsi="Calibri"/>
          <w:b/>
          <w:color w:val="185FA5"/>
          <w:sz w:val="20"/>
        </w:rPr>
        <w:t>Score 90  ·  Tier T2  ·  Character: ★ NORTHSTAR · PEST CONTROL · MOSQUITO SHIELD ANALOG</w:t>
      </w:r>
    </w:p>
    <w:p>
      <w:pPr>
        <w:spacing w:after="160"/>
        <w:pBdr>
          <w:bottom w:val="single" w:sz="8" w:color="185FA5"/>
        </w:pBdr>
      </w:pPr>
    </w:p>
    <w:p>
      <w:pPr>
        <w:spacing w:after="160"/>
      </w:pPr>
      <w:r>
        <w:rPr>
          <w:rFonts w:ascii="Calibri" w:hAnsi="Calibri"/>
          <w:i/>
          <w:color w:val="374151"/>
          <w:sz w:val="20"/>
        </w:rPr>
        <w:t>Commercial &amp; residential pest control · Reno, NV brand HQ · Government contracts strength · GPSI bundle fit · Mosquito Shield analog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F7F8FA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color w:val="6B7280"/>
                <w:sz w:val="16"/>
              </w:rPr>
              <w:t>LOCATIONS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color w:val="1A2B3C"/>
                <w:sz w:val="22"/>
              </w:rPr>
              <w:t>100</w:t>
            </w:r>
          </w:p>
        </w:tc>
        <w:tc>
          <w:tcPr>
            <w:tcW w:type="dxa" w:w="2520"/>
            <w:shd w:val="clear" w:color="auto" w:fill="F7F8FA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color w:val="6B7280"/>
                <w:sz w:val="16"/>
              </w:rPr>
              <w:t>TECHS / LOC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color w:val="1A2B3C"/>
                <w:sz w:val="22"/>
              </w:rPr>
              <w:t>3</w:t>
            </w:r>
          </w:p>
        </w:tc>
        <w:tc>
          <w:tcPr>
            <w:tcW w:type="dxa" w:w="2520"/>
            <w:shd w:val="clear" w:color="auto" w:fill="F7F8FA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color w:val="6B7280"/>
                <w:sz w:val="16"/>
              </w:rPr>
              <w:t>TOTAL / ENGAGEABLE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color w:val="1A2B3C"/>
                <w:sz w:val="22"/>
              </w:rPr>
              <w:t>300 / 300</w:t>
            </w:r>
          </w:p>
        </w:tc>
        <w:tc>
          <w:tcPr>
            <w:tcW w:type="dxa" w:w="2520"/>
            <w:shd w:val="clear" w:color="auto" w:fill="F7F8FA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color w:val="6B7280"/>
                <w:sz w:val="16"/>
              </w:rPr>
              <w:t>Y1 ARR @ 10%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color w:val="1A2B3C"/>
                <w:sz w:val="22"/>
              </w:rPr>
              <w:t>$9K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FFF8E1"/>
            <w:tcBorders>
              <w:top w:val="single" w:sz="6" w:color="B8860B"/>
              <w:left w:val="single" w:sz="6" w:color="B8860B"/>
              <w:bottom w:val="single" w:sz="6" w:color="B8860B"/>
              <w:right w:val="single" w:sz="6" w:color="B8860B"/>
            </w:tcBorders>
          </w:tcPr>
          <w:p>
            <w:pPr>
              <w:spacing w:after="80"/>
            </w:pPr>
            <w:r>
              <w:rPr>
                <w:rFonts w:ascii="Calibri" w:hAnsi="Calibri"/>
                <w:b/>
                <w:color w:val="B8860B"/>
                <w:sz w:val="18"/>
              </w:rPr>
              <w:t>MY READ</w:t>
            </w:r>
          </w:p>
          <w:p>
            <w:pPr>
              <w:spacing w:after="120"/>
            </w:pPr>
            <w:r>
              <w:rPr>
                <w:rFonts w:ascii="Calibri" w:hAnsi="Calibri"/>
                <w:b/>
                <w:color w:val="1A2B3C"/>
                <w:sz w:val="24"/>
              </w:rPr>
              <w:t>Pestmaster is the GPSI bundle wedge into Threshold — fleet-heavy recurring routes, same play as Mosquito Shield at Five Star. Government contract specialty is the differentiator.</w:t>
            </w:r>
          </w:p>
          <w:p>
            <w:pPr>
              <w:spacing w:after="80" w:line="312" w:lineRule="auto"/>
            </w:pPr>
            <w:r>
              <w:rPr>
                <w:rFonts w:ascii="Calibri" w:hAnsi="Calibri"/>
                <w:color w:val="374151"/>
                <w:sz w:val="20"/>
              </w:rPr>
              <w:t>Pestmaster Services is residential and commercial pest control with a unique strength: government contract specialty. Federal facilities, military bases, GSA schedule — Pestmaster franchisees serve government accounts that residential-only pest brands can't. From a ServiceBridge fit perspective, this is Mosquito Shield analog (T3 Lead Wedge at Five Star, score 80) with a commercial+government slant. Recurring barrier-treatment routes, fleet-heavy operations, customer-communication-heavy.</w:t>
            </w:r>
          </w:p>
          <w:p>
            <w:pPr>
              <w:spacing w:after="80" w:line="312" w:lineRule="auto"/>
            </w:pPr>
            <w:r>
              <w:rPr>
                <w:rFonts w:ascii="Calibri" w:hAnsi="Calibri"/>
                <w:color w:val="374151"/>
                <w:sz w:val="20"/>
              </w:rPr>
              <w:t>The GPSI + ServiceBridge bundle math is straightforward here: every franchisee runs trucks for routes, recurring revenue model, route-density-dependent. Pestmaster Brand HQ is in Reno NV — that's intentionally separate from Threshold's Boston HQ, which signals brand-level operational autonomy.</w:t>
            </w:r>
          </w:p>
          <w:p>
            <w:pPr>
              <w:spacing w:after="80" w:line="312" w:lineRule="auto"/>
            </w:pPr>
            <w:r>
              <w:rPr>
                <w:rFonts w:ascii="Calibri" w:hAnsi="Calibri"/>
                <w:color w:val="374151"/>
                <w:sz w:val="20"/>
              </w:rPr>
              <w:t>The Threshold context: Pestmaster is a defending position relative to USA Insulation's transition risk. Win Pestmaster as the GPSI bundle wedge, and the Riverside cross-brand conversation gains momentum. Also a coordinated Riverside conversation alongside Evive's Brothers Gutters expansion can frame Threshold as 'the second Riverside platform' worthy of attention.</w:t>
            </w:r>
          </w:p>
        </w:tc>
      </w:tr>
    </w:tbl>
    <w:p>
      <w:pPr>
        <w:spacing w:after="80"/>
      </w:pPr>
    </w:p>
    <w:p>
      <w:pPr>
        <w:spacing w:before="160" w:after="80"/>
      </w:pPr>
      <w:r>
        <w:rPr>
          <w:rFonts w:ascii="Calibri" w:hAnsi="Calibri"/>
          <w:b/>
          <w:color w:val="1A2B3C"/>
          <w:sz w:val="26"/>
        </w:rPr>
        <w:t>DIMENSION SCORING  ·  6 LENSES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016"/>
            <w:shd w:val="clear" w:color="auto" w:fill="1A2B3C"/>
            <w:tcBorders>
              <w:top w:val="single" w:sz="4" w:color="1A2B3C"/>
              <w:left w:val="single" w:sz="4" w:color="1A2B3C"/>
              <w:bottom w:val="single" w:sz="4" w:color="1A2B3C"/>
              <w:right w:val="single" w:sz="4" w:color="1A2B3C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DIMENSION</w:t>
            </w:r>
          </w:p>
        </w:tc>
        <w:tc>
          <w:tcPr>
            <w:tcW w:type="dxa" w:w="1296"/>
            <w:shd w:val="clear" w:color="auto" w:fill="1A2B3C"/>
            <w:tcBorders>
              <w:top w:val="single" w:sz="4" w:color="1A2B3C"/>
              <w:left w:val="single" w:sz="4" w:color="1A2B3C"/>
              <w:bottom w:val="single" w:sz="4" w:color="1A2B3C"/>
              <w:right w:val="single" w:sz="4" w:color="1A2B3C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FLAG</w:t>
            </w:r>
          </w:p>
        </w:tc>
        <w:tc>
          <w:tcPr>
            <w:tcW w:type="dxa" w:w="6768"/>
            <w:shd w:val="clear" w:color="auto" w:fill="1A2B3C"/>
            <w:tcBorders>
              <w:top w:val="single" w:sz="4" w:color="1A2B3C"/>
              <w:left w:val="single" w:sz="4" w:color="1A2B3C"/>
              <w:bottom w:val="single" w:sz="4" w:color="1A2B3C"/>
              <w:right w:val="single" w:sz="4" w:color="1A2B3C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NARRATIVE</w:t>
            </w:r>
          </w:p>
        </w:tc>
      </w:tr>
      <w:tr>
        <w:tc>
          <w:tcPr>
            <w:tcW w:type="dxa" w:w="201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7F8FA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A2B3C"/>
                <w:sz w:val="18"/>
              </w:rPr>
              <w:t>Greenfield Posture</w:t>
            </w:r>
          </w:p>
        </w:tc>
        <w:tc>
          <w:tcPr>
            <w:tcW w:type="dxa" w:w="12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E8F4EE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D6A4F"/>
                <w:sz w:val="18"/>
              </w:rPr>
              <w:t>STRONG</w:t>
            </w:r>
          </w:p>
        </w:tc>
        <w:tc>
          <w:tcPr>
            <w:tcW w:type="dxa" w:w="67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374151"/>
                <w:sz w:val="18"/>
              </w:rPr>
              <w:t>Not ST-mandated. Threshold portfolio level FSM unclear. Real greenfield at brand level.</w:t>
            </w:r>
          </w:p>
        </w:tc>
      </w:tr>
      <w:tr>
        <w:tc>
          <w:tcPr>
            <w:tcW w:type="dxa" w:w="201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7F8FA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A2B3C"/>
                <w:sz w:val="18"/>
              </w:rPr>
              <w:t>Persona Access</w:t>
            </w:r>
          </w:p>
        </w:tc>
        <w:tc>
          <w:tcPr>
            <w:tcW w:type="dxa" w:w="12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FF1E0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C25E1A"/>
                <w:sz w:val="18"/>
              </w:rPr>
              <w:t>CAUTION</w:t>
            </w:r>
          </w:p>
        </w:tc>
        <w:tc>
          <w:tcPr>
            <w:tcW w:type="dxa" w:w="67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374151"/>
                <w:sz w:val="18"/>
              </w:rPr>
              <w:t>Pestmaster Brand President TBV. Ted DeMarino CEO. Brand HQ in Reno = separate from Threshold corporate Boston.</w:t>
            </w:r>
          </w:p>
        </w:tc>
      </w:tr>
      <w:tr>
        <w:tc>
          <w:tcPr>
            <w:tcW w:type="dxa" w:w="201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7F8FA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A2B3C"/>
                <w:sz w:val="18"/>
              </w:rPr>
              <w:t>Commercial / Consumer Mix</w:t>
            </w:r>
          </w:p>
        </w:tc>
        <w:tc>
          <w:tcPr>
            <w:tcW w:type="dxa" w:w="12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E8F4EE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D6A4F"/>
                <w:sz w:val="18"/>
              </w:rPr>
              <w:t>STRONG</w:t>
            </w:r>
          </w:p>
        </w:tc>
        <w:tc>
          <w:tcPr>
            <w:tcW w:type="dxa" w:w="67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374151"/>
                <w:sz w:val="18"/>
              </w:rPr>
              <w:t>Mixed — residential + commercial + government contracts. Government specialty is unique differentiator. ServiceBridge handles all three.</w:t>
            </w:r>
          </w:p>
        </w:tc>
      </w:tr>
      <w:tr>
        <w:tc>
          <w:tcPr>
            <w:tcW w:type="dxa" w:w="201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7F8FA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A2B3C"/>
                <w:sz w:val="18"/>
              </w:rPr>
              <w:t>BPO in place</w:t>
            </w:r>
          </w:p>
        </w:tc>
        <w:tc>
          <w:tcPr>
            <w:tcW w:type="dxa" w:w="12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3F4F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B7280"/>
                <w:sz w:val="18"/>
              </w:rPr>
              <w:t>UNKNOWN</w:t>
            </w:r>
          </w:p>
        </w:tc>
        <w:tc>
          <w:tcPr>
            <w:tcW w:type="dxa" w:w="67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374151"/>
                <w:sz w:val="18"/>
              </w:rPr>
              <w:t>Threshold corporate. Validate.</w:t>
            </w:r>
          </w:p>
        </w:tc>
      </w:tr>
      <w:tr>
        <w:tc>
          <w:tcPr>
            <w:tcW w:type="dxa" w:w="201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7F8FA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A2B3C"/>
                <w:sz w:val="18"/>
              </w:rPr>
              <w:t>QuickBooks deployed</w:t>
            </w:r>
          </w:p>
        </w:tc>
        <w:tc>
          <w:tcPr>
            <w:tcW w:type="dxa" w:w="12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3F4F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B7280"/>
                <w:sz w:val="18"/>
              </w:rPr>
              <w:t>UNKNOWN</w:t>
            </w:r>
          </w:p>
        </w:tc>
        <w:tc>
          <w:tcPr>
            <w:tcW w:type="dxa" w:w="67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374151"/>
                <w:sz w:val="18"/>
              </w:rPr>
              <w:t>Pest franchisees = typical QB users. Validate.</w:t>
            </w:r>
          </w:p>
        </w:tc>
      </w:tr>
      <w:tr>
        <w:tc>
          <w:tcPr>
            <w:tcW w:type="dxa" w:w="201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7F8FA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A2B3C"/>
                <w:sz w:val="18"/>
              </w:rPr>
              <w:t>Events attended</w:t>
            </w:r>
          </w:p>
        </w:tc>
        <w:tc>
          <w:tcPr>
            <w:tcW w:type="dxa" w:w="12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E8F4EE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D6A4F"/>
                <w:sz w:val="18"/>
              </w:rPr>
              <w:t>STRONG</w:t>
            </w:r>
          </w:p>
        </w:tc>
        <w:tc>
          <w:tcPr>
            <w:tcW w:type="dxa" w:w="67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374151"/>
                <w:sz w:val="18"/>
              </w:rPr>
              <w:t>Threshold Brands Summit. PestWorld (NPMA national pest event). Government contract conferences (GSA Federal Acquisition Service).</w:t>
            </w:r>
          </w:p>
        </w:tc>
      </w:tr>
    </w:tbl>
    <w:p>
      <w:pPr>
        <w:spacing w:after="80"/>
      </w:pPr>
    </w:p>
    <w:p>
      <w:pPr>
        <w:spacing w:before="160" w:after="80"/>
      </w:pPr>
      <w:r>
        <w:rPr>
          <w:rFonts w:ascii="Calibri" w:hAnsi="Calibri"/>
          <w:b/>
          <w:color w:val="1A2B3C"/>
          <w:sz w:val="26"/>
        </w:rPr>
        <w:t>WHAT WE'D LEVERAGE  ·  WHAT WE'D CHALLENGE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E8F4EE"/>
            <w:tcBorders>
              <w:top w:val="single" w:sz="6" w:color="2D6A4F"/>
              <w:left w:val="single" w:sz="6" w:color="2D6A4F"/>
              <w:bottom w:val="single" w:sz="6" w:color="2D6A4F"/>
              <w:right w:val="single" w:sz="6" w:color="2D6A4F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2D6A4F"/>
                <w:sz w:val="20"/>
              </w:rPr>
              <w:t>WHAT WE'D LEVERAGE</w:t>
            </w:r>
          </w:p>
        </w:tc>
        <w:tc>
          <w:tcPr>
            <w:tcW w:type="dxa" w:w="5040"/>
            <w:shd w:val="clear" w:color="auto" w:fill="F4D9D9"/>
            <w:tcBorders>
              <w:top w:val="single" w:sz="6" w:color="A32D2D"/>
              <w:left w:val="single" w:sz="6" w:color="A32D2D"/>
              <w:bottom w:val="single" w:sz="6" w:color="A32D2D"/>
              <w:right w:val="single" w:sz="6" w:color="A32D2D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A32D2D"/>
                <w:sz w:val="20"/>
              </w:rPr>
              <w:t>WHAT WE'D CHALLENGE</w:t>
            </w:r>
          </w:p>
        </w:tc>
      </w:tr>
      <w:tr>
        <w:tc>
          <w:tcPr>
            <w:tcW w:type="dxa" w:w="5040"/>
            <w:tcBorders>
              <w:top w:val="single" w:sz="4" w:color="2D6A4F"/>
              <w:left w:val="single" w:sz="4" w:color="2D6A4F"/>
              <w:bottom w:val="single" w:sz="4" w:color="2D6A4F"/>
              <w:right w:val="single" w:sz="4" w:color="2D6A4F"/>
            </w:tcBorders>
          </w:tcPr>
          <w:p>
            <w:pPr>
              <w:spacing w:after="0"/>
            </w:pPr>
            <w:r/>
          </w:p>
          <w:p>
            <w:pPr>
              <w:spacing w:after="60"/>
              <w:ind w:left="144"/>
            </w:pPr>
            <w:r>
              <w:rPr>
                <w:rFonts w:ascii="Calibri" w:hAnsi="Calibri"/>
                <w:b/>
                <w:color w:val="2D6A4F"/>
                <w:sz w:val="20"/>
              </w:rPr>
              <w:t xml:space="preserve">▸ </w:t>
            </w:r>
            <w:r>
              <w:rPr>
                <w:rFonts w:ascii="Calibri" w:hAnsi="Calibri"/>
                <w:color w:val="374151"/>
                <w:sz w:val="18"/>
              </w:rPr>
              <w:t>GPSI + ServiceBridge bundle fit. Mosquito Shield analog applies.</w:t>
            </w:r>
          </w:p>
          <w:p>
            <w:pPr>
              <w:spacing w:after="60"/>
              <w:ind w:left="144"/>
            </w:pPr>
            <w:r>
              <w:rPr>
                <w:rFonts w:ascii="Calibri" w:hAnsi="Calibri"/>
                <w:b/>
                <w:color w:val="2D6A4F"/>
                <w:sz w:val="20"/>
              </w:rPr>
              <w:t xml:space="preserve">▸ </w:t>
            </w:r>
            <w:r>
              <w:rPr>
                <w:rFonts w:ascii="Calibri" w:hAnsi="Calibri"/>
                <w:color w:val="374151"/>
                <w:sz w:val="18"/>
              </w:rPr>
              <w:t>Government contract specialty. Unique vs. residential-only pest brands.</w:t>
            </w:r>
          </w:p>
          <w:p>
            <w:pPr>
              <w:spacing w:after="60"/>
              <w:ind w:left="144"/>
            </w:pPr>
            <w:r>
              <w:rPr>
                <w:rFonts w:ascii="Calibri" w:hAnsi="Calibri"/>
                <w:b/>
                <w:color w:val="2D6A4F"/>
                <w:sz w:val="20"/>
              </w:rPr>
              <w:t xml:space="preserve">▸ </w:t>
            </w:r>
            <w:r>
              <w:rPr>
                <w:rFonts w:ascii="Calibri" w:hAnsi="Calibri"/>
                <w:color w:val="374151"/>
                <w:sz w:val="18"/>
              </w:rPr>
              <w:t>Recurring barrier-treatment routes. ServiceBridge sweet spot.</w:t>
            </w:r>
          </w:p>
          <w:p>
            <w:pPr>
              <w:spacing w:after="60"/>
              <w:ind w:left="144"/>
            </w:pPr>
            <w:r>
              <w:rPr>
                <w:rFonts w:ascii="Calibri" w:hAnsi="Calibri"/>
                <w:b/>
                <w:color w:val="2D6A4F"/>
                <w:sz w:val="20"/>
              </w:rPr>
              <w:t xml:space="preserve">▸ </w:t>
            </w:r>
            <w:r>
              <w:rPr>
                <w:rFonts w:ascii="Calibri" w:hAnsi="Calibri"/>
                <w:color w:val="374151"/>
                <w:sz w:val="18"/>
              </w:rPr>
              <w:t>Reno HQ separation from Boston. Brand-level operational autonomy.</w:t>
            </w:r>
          </w:p>
          <w:p>
            <w:pPr>
              <w:spacing w:after="60"/>
              <w:ind w:left="144"/>
            </w:pPr>
            <w:r>
              <w:rPr>
                <w:rFonts w:ascii="Calibri" w:hAnsi="Calibri"/>
                <w:b/>
                <w:color w:val="2D6A4F"/>
                <w:sz w:val="20"/>
              </w:rPr>
              <w:t xml:space="preserve">▸ </w:t>
            </w:r>
            <w:r>
              <w:rPr>
                <w:rFonts w:ascii="Calibri" w:hAnsi="Calibri"/>
                <w:color w:val="374151"/>
                <w:sz w:val="18"/>
              </w:rPr>
              <w:t>Riverside cross-portfolio with Evive coordination opportunity.</w:t>
            </w:r>
          </w:p>
          <w:p>
            <w:pPr>
              <w:spacing w:after="60"/>
              <w:ind w:left="144"/>
            </w:pPr>
            <w:r>
              <w:rPr>
                <w:rFonts w:ascii="Calibri" w:hAnsi="Calibri"/>
                <w:b/>
                <w:color w:val="2D6A4F"/>
                <w:sz w:val="20"/>
              </w:rPr>
              <w:t xml:space="preserve">▸ </w:t>
            </w:r>
            <w:r>
              <w:rPr>
                <w:rFonts w:ascii="Calibri" w:hAnsi="Calibri"/>
                <w:color w:val="374151"/>
                <w:sz w:val="18"/>
              </w:rPr>
              <w:t>Defending position vs. USA Insulation AT-RISK status.</w:t>
            </w:r>
          </w:p>
        </w:tc>
        <w:tc>
          <w:tcPr>
            <w:tcW w:type="dxa" w:w="5040"/>
            <w:tcBorders>
              <w:top w:val="single" w:sz="4" w:color="A32D2D"/>
              <w:left w:val="single" w:sz="4" w:color="A32D2D"/>
              <w:bottom w:val="single" w:sz="4" w:color="A32D2D"/>
              <w:right w:val="single" w:sz="4" w:color="A32D2D"/>
            </w:tcBorders>
          </w:tcPr>
          <w:p>
            <w:pPr>
              <w:spacing w:after="0"/>
            </w:pPr>
            <w:r/>
          </w:p>
          <w:p>
            <w:pPr>
              <w:spacing w:after="60"/>
              <w:ind w:left="144"/>
            </w:pPr>
            <w:r>
              <w:rPr>
                <w:rFonts w:ascii="Calibri" w:hAnsi="Calibri"/>
                <w:b/>
                <w:color w:val="A32D2D"/>
                <w:sz w:val="20"/>
              </w:rPr>
              <w:t xml:space="preserve">▸ </w:t>
            </w:r>
            <w:r>
              <w:rPr>
                <w:rFonts w:ascii="Calibri" w:hAnsi="Calibri"/>
                <w:color w:val="374151"/>
                <w:sz w:val="18"/>
              </w:rPr>
              <w:t>Pest-specific SaaS. PestPac, FieldRoutes (ST), GorillaDesk. Major competition.</w:t>
            </w:r>
          </w:p>
          <w:p>
            <w:pPr>
              <w:spacing w:after="60"/>
              <w:ind w:left="144"/>
            </w:pPr>
            <w:r>
              <w:rPr>
                <w:rFonts w:ascii="Calibri" w:hAnsi="Calibri"/>
                <w:b/>
                <w:color w:val="A32D2D"/>
                <w:sz w:val="20"/>
              </w:rPr>
              <w:t xml:space="preserve">▸ </w:t>
            </w:r>
            <w:r>
              <w:rPr>
                <w:rFonts w:ascii="Calibri" w:hAnsi="Calibri"/>
                <w:color w:val="374151"/>
                <w:sz w:val="18"/>
              </w:rPr>
              <w:t>Threshold platform fragility (USA Insulation transition signal).</w:t>
            </w:r>
          </w:p>
          <w:p>
            <w:pPr>
              <w:spacing w:after="60"/>
              <w:ind w:left="144"/>
            </w:pPr>
            <w:r>
              <w:rPr>
                <w:rFonts w:ascii="Calibri" w:hAnsi="Calibri"/>
                <w:b/>
                <w:color w:val="A32D2D"/>
                <w:sz w:val="20"/>
              </w:rPr>
              <w:t xml:space="preserve">▸ </w:t>
            </w:r>
            <w:r>
              <w:rPr>
                <w:rFonts w:ascii="Calibri" w:hAnsi="Calibri"/>
                <w:color w:val="374151"/>
                <w:sz w:val="18"/>
              </w:rPr>
              <w:t>Brand-pres TBV.</w:t>
            </w:r>
          </w:p>
          <w:p>
            <w:pPr>
              <w:spacing w:after="60"/>
              <w:ind w:left="144"/>
            </w:pPr>
            <w:r>
              <w:rPr>
                <w:rFonts w:ascii="Calibri" w:hAnsi="Calibri"/>
                <w:b/>
                <w:color w:val="A32D2D"/>
                <w:sz w:val="20"/>
              </w:rPr>
              <w:t xml:space="preserve">▸ </w:t>
            </w:r>
            <w:r>
              <w:rPr>
                <w:rFonts w:ascii="Calibri" w:hAnsi="Calibri"/>
                <w:color w:val="374151"/>
                <w:sz w:val="18"/>
              </w:rPr>
              <w:t>Government contract requirements add specialized workflow scope.</w:t>
            </w:r>
          </w:p>
          <w:p>
            <w:pPr>
              <w:spacing w:after="60"/>
              <w:ind w:left="144"/>
            </w:pPr>
            <w:r>
              <w:rPr>
                <w:rFonts w:ascii="Calibri" w:hAnsi="Calibri"/>
                <w:b/>
                <w:color w:val="A32D2D"/>
                <w:sz w:val="20"/>
              </w:rPr>
              <w:t xml:space="preserve">▸ </w:t>
            </w:r>
            <w:r>
              <w:rPr>
                <w:rFonts w:ascii="Calibri" w:hAnsi="Calibri"/>
                <w:color w:val="374151"/>
                <w:sz w:val="18"/>
              </w:rPr>
              <w:t>State-by-state pesticide regulation.</w:t>
            </w:r>
          </w:p>
        </w:tc>
      </w:tr>
    </w:tbl>
    <w:p>
      <w:pPr>
        <w:spacing w:after="80"/>
      </w:pPr>
    </w:p>
    <w:p>
      <w:pPr>
        <w:spacing w:before="160" w:after="80"/>
      </w:pPr>
      <w:r>
        <w:rPr>
          <w:rFonts w:ascii="Calibri" w:hAnsi="Calibri"/>
          <w:b/>
          <w:color w:val="1A2B3C"/>
          <w:sz w:val="26"/>
        </w:rPr>
        <w:t>PERSONA MAP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shd w:val="clear" w:color="auto" w:fill="1A2B3C"/>
            <w:tcBorders>
              <w:top w:val="single" w:sz="4" w:color="1A2B3C"/>
              <w:left w:val="single" w:sz="4" w:color="1A2B3C"/>
              <w:bottom w:val="single" w:sz="4" w:color="1A2B3C"/>
              <w:right w:val="single" w:sz="4" w:color="1A2B3C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NAME &amp; ROLE</w:t>
            </w:r>
          </w:p>
        </w:tc>
        <w:tc>
          <w:tcPr>
            <w:tcW w:type="dxa" w:w="5040"/>
            <w:shd w:val="clear" w:color="auto" w:fill="1A2B3C"/>
            <w:tcBorders>
              <w:top w:val="single" w:sz="4" w:color="1A2B3C"/>
              <w:left w:val="single" w:sz="4" w:color="1A2B3C"/>
              <w:bottom w:val="single" w:sz="4" w:color="1A2B3C"/>
              <w:right w:val="single" w:sz="4" w:color="1A2B3C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WHY THEY MATTER</w:t>
            </w:r>
          </w:p>
        </w:tc>
        <w:tc>
          <w:tcPr>
            <w:tcW w:type="dxa" w:w="2160"/>
            <w:shd w:val="clear" w:color="auto" w:fill="1A2B3C"/>
            <w:tcBorders>
              <w:top w:val="single" w:sz="4" w:color="1A2B3C"/>
              <w:left w:val="single" w:sz="4" w:color="1A2B3C"/>
              <w:bottom w:val="single" w:sz="4" w:color="1A2B3C"/>
              <w:right w:val="single" w:sz="4" w:color="1A2B3C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PATH</w:t>
            </w:r>
          </w:p>
        </w:tc>
      </w:tr>
      <w:tr>
        <w:tc>
          <w:tcPr>
            <w:tcW w:type="dxa" w:w="288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7F8FA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A2B3C"/>
                <w:sz w:val="18"/>
              </w:rPr>
              <w:t>Pestmaster Brand President</w:t>
            </w:r>
          </w:p>
          <w:p>
            <w:pPr>
              <w:spacing w:after="0"/>
            </w:pPr>
            <w:r>
              <w:rPr>
                <w:rFonts w:ascii="Calibri" w:hAnsi="Calibri"/>
                <w:color w:val="6B7280"/>
                <w:sz w:val="16"/>
              </w:rPr>
              <w:t>TBV — research task</w:t>
            </w:r>
          </w:p>
        </w:tc>
        <w:tc>
          <w:tcPr>
            <w:tcW w:type="dxa" w:w="50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374151"/>
                <w:sz w:val="18"/>
              </w:rPr>
              <w:t>Brand-level decision-maker. Reno HQ.</w:t>
            </w:r>
          </w:p>
        </w:tc>
        <w:tc>
          <w:tcPr>
            <w:tcW w:type="dxa" w:w="21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C25E1A"/>
                <w:sz w:val="18"/>
              </w:rPr>
              <w:t>Research task</w:t>
            </w:r>
          </w:p>
        </w:tc>
      </w:tr>
      <w:tr>
        <w:tc>
          <w:tcPr>
            <w:tcW w:type="dxa" w:w="288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7F8FA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A2B3C"/>
                <w:sz w:val="18"/>
              </w:rPr>
              <w:t>Ted DeMarino</w:t>
            </w:r>
          </w:p>
          <w:p>
            <w:pPr>
              <w:spacing w:after="0"/>
            </w:pPr>
            <w:r>
              <w:rPr>
                <w:rFonts w:ascii="Calibri" w:hAnsi="Calibri"/>
                <w:color w:val="6B7280"/>
                <w:sz w:val="16"/>
              </w:rPr>
              <w:t>CEO · Threshold</w:t>
            </w:r>
          </w:p>
        </w:tc>
        <w:tc>
          <w:tcPr>
            <w:tcW w:type="dxa" w:w="50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374151"/>
                <w:sz w:val="18"/>
              </w:rPr>
              <w:t>Direction.</w:t>
            </w:r>
          </w:p>
        </w:tc>
        <w:tc>
          <w:tcPr>
            <w:tcW w:type="dxa" w:w="21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2D6A4F"/>
                <w:sz w:val="18"/>
              </w:rPr>
              <w:t>★ CEO path</w:t>
            </w:r>
          </w:p>
        </w:tc>
      </w:tr>
      <w:tr>
        <w:tc>
          <w:tcPr>
            <w:tcW w:type="dxa" w:w="288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7F8FA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A2B3C"/>
                <w:sz w:val="18"/>
              </w:rPr>
              <w:t>Loren Schlachet</w:t>
            </w:r>
          </w:p>
          <w:p>
            <w:pPr>
              <w:spacing w:after="0"/>
            </w:pPr>
            <w:r>
              <w:rPr>
                <w:rFonts w:ascii="Calibri" w:hAnsi="Calibri"/>
                <w:color w:val="6B7280"/>
                <w:sz w:val="16"/>
              </w:rPr>
              <w:t>Managing Partner · Riverside</w:t>
            </w:r>
          </w:p>
        </w:tc>
        <w:tc>
          <w:tcPr>
            <w:tcW w:type="dxa" w:w="50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374151"/>
                <w:sz w:val="18"/>
              </w:rPr>
              <w:t>Cross-portfolio coordination.</w:t>
            </w:r>
          </w:p>
        </w:tc>
        <w:tc>
          <w:tcPr>
            <w:tcW w:type="dxa" w:w="21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C25E1A"/>
                <w:sz w:val="18"/>
              </w:rPr>
              <w:t>Via GPSI/Charles</w:t>
            </w:r>
          </w:p>
        </w:tc>
      </w:tr>
    </w:tbl>
    <w:p>
      <w:pPr>
        <w:spacing w:after="80"/>
      </w:pPr>
    </w:p>
    <w:p>
      <w:pPr>
        <w:spacing w:before="160" w:after="80"/>
      </w:pPr>
      <w:r>
        <w:rPr>
          <w:rFonts w:ascii="Calibri" w:hAnsi="Calibri"/>
          <w:b/>
          <w:color w:val="1A2B3C"/>
          <w:sz w:val="26"/>
        </w:rPr>
        <w:t>EVENTS TO ENGAGE</w:t>
      </w:r>
    </w:p>
    <w:p>
      <w:pPr>
        <w:spacing w:after="40"/>
        <w:ind w:left="144"/>
      </w:pPr>
      <w:r>
        <w:rPr>
          <w:rFonts w:ascii="Calibri" w:hAnsi="Calibri"/>
          <w:b/>
          <w:color w:val="185FA5"/>
          <w:sz w:val="18"/>
        </w:rPr>
        <w:t xml:space="preserve">Annual  ·  </w:t>
      </w:r>
      <w:r>
        <w:rPr>
          <w:rFonts w:ascii="Calibri" w:hAnsi="Calibri"/>
          <w:b/>
          <w:color w:val="1A2B3C"/>
          <w:sz w:val="20"/>
        </w:rPr>
        <w:t>Threshold Brands Summit</w:t>
      </w:r>
    </w:p>
    <w:p>
      <w:pPr>
        <w:spacing w:after="80"/>
        <w:ind w:left="576"/>
      </w:pPr>
      <w:r>
        <w:rPr>
          <w:rFonts w:ascii="Calibri" w:hAnsi="Calibri"/>
          <w:color w:val="374151"/>
          <w:sz w:val="18"/>
        </w:rPr>
        <w:t>Single-room access.</w:t>
      </w:r>
    </w:p>
    <w:p>
      <w:pPr>
        <w:spacing w:after="40"/>
        <w:ind w:left="144"/>
      </w:pPr>
      <w:r>
        <w:rPr>
          <w:rFonts w:ascii="Calibri" w:hAnsi="Calibri"/>
          <w:b/>
          <w:color w:val="185FA5"/>
          <w:sz w:val="18"/>
        </w:rPr>
        <w:t xml:space="preserve">Annual (Oct)  ·  </w:t>
      </w:r>
      <w:r>
        <w:rPr>
          <w:rFonts w:ascii="Calibri" w:hAnsi="Calibri"/>
          <w:b/>
          <w:color w:val="1A2B3C"/>
          <w:sz w:val="20"/>
        </w:rPr>
        <w:t>PestWorld</w:t>
      </w:r>
    </w:p>
    <w:p>
      <w:pPr>
        <w:spacing w:after="80"/>
        <w:ind w:left="576"/>
      </w:pPr>
      <w:r>
        <w:rPr>
          <w:rFonts w:ascii="Calibri" w:hAnsi="Calibri"/>
          <w:color w:val="374151"/>
          <w:sz w:val="18"/>
        </w:rPr>
        <w:t>NPMA anchor pest event.</w:t>
      </w:r>
    </w:p>
    <w:p>
      <w:pPr>
        <w:spacing w:after="40"/>
        <w:ind w:left="144"/>
      </w:pPr>
      <w:r>
        <w:rPr>
          <w:rFonts w:ascii="Calibri" w:hAnsi="Calibri"/>
          <w:b/>
          <w:color w:val="185FA5"/>
          <w:sz w:val="18"/>
        </w:rPr>
        <w:t xml:space="preserve">Year-round  ·  </w:t>
      </w:r>
      <w:r>
        <w:rPr>
          <w:rFonts w:ascii="Calibri" w:hAnsi="Calibri"/>
          <w:b/>
          <w:color w:val="1A2B3C"/>
          <w:sz w:val="20"/>
        </w:rPr>
        <w:t>Government contract events</w:t>
      </w:r>
    </w:p>
    <w:p>
      <w:pPr>
        <w:spacing w:after="80"/>
        <w:ind w:left="576"/>
      </w:pPr>
      <w:r>
        <w:rPr>
          <w:rFonts w:ascii="Calibri" w:hAnsi="Calibri"/>
          <w:color w:val="374151"/>
          <w:sz w:val="18"/>
        </w:rPr>
        <w:t>GSA Federal Acquisition Service channel.</w:t>
      </w:r>
    </w:p>
    <w:p>
      <w:pPr>
        <w:spacing w:before="160" w:after="80"/>
      </w:pPr>
      <w:r>
        <w:rPr>
          <w:rFonts w:ascii="Calibri" w:hAnsi="Calibri"/>
          <w:b/>
          <w:color w:val="6B7280"/>
          <w:sz w:val="22"/>
        </w:rPr>
        <w:t>HOW WE SCORED THIS</w:t>
      </w:r>
    </w:p>
    <w:p>
      <w:pPr>
        <w:spacing w:after="120" w:line="300" w:lineRule="auto"/>
      </w:pPr>
      <w:r>
        <w:rPr>
          <w:rFonts w:ascii="Calibri" w:hAnsi="Calibri"/>
          <w:i/>
          <w:color w:val="374151"/>
          <w:sz w:val="20"/>
        </w:rPr>
        <w:t>Score 90 (T2 NorthStar) per Track 2 v2 matrix. Drivers: GPSI + ServiceBridge bundle fit (Mosquito Shield analog), government contract specialty differentiator, recurring barrier-treatment routes, Reno HQ operational autonomy. Reduced by pest-specific SaaS competition, Threshold platform fragility, brand-pres TBV. Threshold parent +20 NorthStar bonus.</w:t>
      </w:r>
    </w:p>
    <w:p>
      <w:pPr>
        <w:spacing w:before="160" w:after="80"/>
      </w:pPr>
      <w:r>
        <w:rPr>
          <w:rFonts w:ascii="Calibri" w:hAnsi="Calibri"/>
          <w:b/>
          <w:color w:val="1A2B3C"/>
          <w:sz w:val="22"/>
        </w:rPr>
        <w:t>SIGN-OFF &amp; NEXT STEPS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7F8FA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A2B3C"/>
                <w:sz w:val="18"/>
              </w:rPr>
              <w:t>Owner</w:t>
            </w:r>
          </w:p>
        </w:tc>
        <w:tc>
          <w:tcPr>
            <w:tcW w:type="dxa" w:w="72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374151"/>
                <w:sz w:val="18"/>
              </w:rPr>
              <w:t>Mike Flynt · Velocity GTM Co LLC</w:t>
            </w:r>
          </w:p>
        </w:tc>
      </w:tr>
      <w:tr>
        <w:tc>
          <w:tcPr>
            <w:tcW w:type="dxa" w:w="288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7F8FA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A2B3C"/>
                <w:sz w:val="18"/>
              </w:rPr>
              <w:t>GPSI Coordination</w:t>
            </w:r>
          </w:p>
        </w:tc>
        <w:tc>
          <w:tcPr>
            <w:tcW w:type="dxa" w:w="72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374151"/>
                <w:sz w:val="18"/>
              </w:rPr>
              <w:t>Andrea Rowan (GM ServiceBridge), Charles Layne (CEO), Garrett Else (CFO)</w:t>
            </w:r>
          </w:p>
        </w:tc>
      </w:tr>
      <w:tr>
        <w:tc>
          <w:tcPr>
            <w:tcW w:type="dxa" w:w="288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7F8FA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A2B3C"/>
                <w:sz w:val="18"/>
              </w:rPr>
              <w:t>Source of truth</w:t>
            </w:r>
          </w:p>
        </w:tc>
        <w:tc>
          <w:tcPr>
            <w:tcW w:type="dxa" w:w="72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374151"/>
                <w:sz w:val="18"/>
              </w:rPr>
              <w:t>Track 2 P1+P2 Brand Priority Matrix v2 · CRM v15.6 · Threshold Brands parent context</w:t>
            </w:r>
          </w:p>
        </w:tc>
      </w:tr>
      <w:tr>
        <w:tc>
          <w:tcPr>
            <w:tcW w:type="dxa" w:w="288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7F8FA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A2B3C"/>
                <w:sz w:val="18"/>
              </w:rPr>
              <w:t>Document version</w:t>
            </w:r>
          </w:p>
        </w:tc>
        <w:tc>
          <w:tcPr>
            <w:tcW w:type="dxa" w:w="72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374151"/>
                <w:sz w:val="18"/>
              </w:rPr>
              <w:t>v1.0 · May 1, 2026 · ServiceBridge GTM Engagement</w:t>
            </w:r>
          </w:p>
        </w:tc>
      </w:tr>
    </w:tbl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