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Threshold Brands  ·  Track 2 P2 #3 NorthStar</w:t>
      </w:r>
    </w:p>
    <w:p>
      <w:pPr>
        <w:spacing w:after="40"/>
      </w:pPr>
      <w:r>
        <w:rPr>
          <w:rFonts w:ascii="Calibri" w:hAnsi="Calibri"/>
          <w:b/>
          <w:color w:val="1A2B3C"/>
          <w:sz w:val="44"/>
        </w:rPr>
        <w:t>Sir Grout</w:t>
      </w:r>
    </w:p>
    <w:p>
      <w:pPr>
        <w:spacing w:after="160"/>
      </w:pPr>
      <w:r>
        <w:rPr>
          <w:rFonts w:ascii="Calibri" w:hAnsi="Calibri"/>
          <w:b/>
          <w:color w:val="185FA5"/>
          <w:sz w:val="20"/>
        </w:rPr>
        <w:t>Score 60  ·  Tier T4  ·  Character: ★ NORTHSTAR · TILE/GROUT · GROUT MEDIC ANALOG</w:t>
      </w:r>
    </w:p>
    <w:p>
      <w:pPr>
        <w:spacing w:after="160"/>
        <w:pBdr>
          <w:bottom w:val="single" w:sz="8" w:color="185FA5"/>
        </w:pBdr>
      </w:pPr>
    </w:p>
    <w:p>
      <w:pPr>
        <w:spacing w:after="160"/>
      </w:pPr>
      <w:r>
        <w:rPr>
          <w:rFonts w:ascii="Calibri" w:hAnsi="Calibri"/>
          <w:i/>
          <w:color w:val="374151"/>
          <w:sz w:val="20"/>
        </w:rPr>
        <w:t>Tile cleaning, grout color sealing, recaulking, stone restoration · Stamford CT brand HQ · Same vertical as Grout Medic at PSB</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100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2</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200 / 200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$6K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Sir Grout is the same vertical as The Grout Medic at PSB (T5 NorthStar at 56). Same operational profile, slightly higher score reflecting NorthStar status.</w:t>
            </w:r>
          </w:p>
          <w:p>
            <w:pPr>
              <w:spacing w:after="80" w:line="312" w:lineRule="auto"/>
            </w:pPr>
            <w:r>
              <w:rPr>
                <w:rFonts w:ascii="Calibri" w:hAnsi="Calibri"/>
                <w:color w:val="374151"/>
                <w:sz w:val="20"/>
              </w:rPr>
              <w:t>Sir Grout does tile cleaning, grout color sealing, recaulking, stone restoration. The same operational profile as The Grout Medic at PSB (T5 NorthStar score 56 in matrix). Both target homeowners with tile floors/showers and light commercial accounts. Per Threshold's earlier press: 'Threshold Brand's vision for the future of Sir Grout perfectly aligns with the vision that we created for [the brand].' That's a Threshold-stated commitment to the brand's future.</w:t>
            </w:r>
          </w:p>
          <w:p>
            <w:pPr>
              <w:spacing w:after="80" w:line="312" w:lineRule="auto"/>
            </w:pPr>
            <w:r>
              <w:rPr>
                <w:rFonts w:ascii="Calibri" w:hAnsi="Calibri"/>
                <w:color w:val="374151"/>
                <w:sz w:val="20"/>
              </w:rPr>
              <w:t>From a ServiceBridge fit standpoint, lowest tech-density brand in Threshold (2 techs/loc · 200 techs · $6K Y1 ARR). Smaller individual deals. Project-based work with some recurring (color-sealing maintenance contracts). ServiceBridge value: customer texts/ETAs (specialized service homeowners want professional communication), invoice/payment streamlining, photo documentation (before/after grout-color-sealing shots are part of sales process).</w:t>
            </w:r>
          </w:p>
          <w:p>
            <w:pPr>
              <w:spacing w:after="80" w:line="312" w:lineRule="auto"/>
            </w:pPr>
            <w:r>
              <w:rPr>
                <w:rFonts w:ascii="Calibri" w:hAnsi="Calibri"/>
                <w:color w:val="374151"/>
                <w:sz w:val="20"/>
              </w:rPr>
              <w:t>Strategic position: complementary brand only within Threshold portfolio. Don't lead. Lead with Pestmaster, MaidPro, the Paramedics duo. Sir Grout follows as portfolio extension.</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Not ST-mandated. Real greenfield.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Sir Grout Brand President TBV. Ted DeMarino CEO.</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Primarily residential. Some light commercial. Niche workflow.</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corporate.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Niche service franchisees = typical QB users.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Brands Summit. Coverings Trade Show. NTCA (National Tile Contractors Association).</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Threshold-stated commitment to brand's future.</w:t>
            </w:r>
          </w:p>
          <w:p>
            <w:pPr>
              <w:spacing w:after="60"/>
              <w:ind w:left="144"/>
            </w:pPr>
            <w:r>
              <w:rPr>
                <w:rFonts w:ascii="Calibri" w:hAnsi="Calibri"/>
                <w:b/>
                <w:color w:val="2D6A4F"/>
                <w:sz w:val="20"/>
              </w:rPr>
              <w:t xml:space="preserve">▸ </w:t>
            </w:r>
            <w:r>
              <w:rPr>
                <w:rFonts w:ascii="Calibri" w:hAnsi="Calibri"/>
                <w:color w:val="374151"/>
                <w:sz w:val="18"/>
              </w:rPr>
              <w:t>Photo documentation native ServiceBridge strength.</w:t>
            </w:r>
          </w:p>
          <w:p>
            <w:pPr>
              <w:spacing w:after="60"/>
              <w:ind w:left="144"/>
            </w:pPr>
            <w:r>
              <w:rPr>
                <w:rFonts w:ascii="Calibri" w:hAnsi="Calibri"/>
                <w:b/>
                <w:color w:val="2D6A4F"/>
                <w:sz w:val="20"/>
              </w:rPr>
              <w:t xml:space="preserve">▸ </w:t>
            </w:r>
            <w:r>
              <w:rPr>
                <w:rFonts w:ascii="Calibri" w:hAnsi="Calibri"/>
                <w:color w:val="374151"/>
                <w:sz w:val="18"/>
              </w:rPr>
              <w:t>Cross-portfolio analog with Grout Medic at PSB.</w:t>
            </w:r>
          </w:p>
          <w:p>
            <w:pPr>
              <w:spacing w:after="60"/>
              <w:ind w:left="144"/>
            </w:pPr>
            <w:r>
              <w:rPr>
                <w:rFonts w:ascii="Calibri" w:hAnsi="Calibri"/>
                <w:b/>
                <w:color w:val="2D6A4F"/>
                <w:sz w:val="20"/>
              </w:rPr>
              <w:t xml:space="preserve">▸ </w:t>
            </w:r>
            <w:r>
              <w:rPr>
                <w:rFonts w:ascii="Calibri" w:hAnsi="Calibri"/>
                <w:color w:val="374151"/>
                <w:sz w:val="18"/>
              </w:rPr>
              <w:t>Recurring color-sealing maintenance contracts.</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Lowest tech-density Threshold brand. 2 techs/loc · $6K Y1.</w:t>
            </w:r>
          </w:p>
          <w:p>
            <w:pPr>
              <w:spacing w:after="60"/>
              <w:ind w:left="144"/>
            </w:pPr>
            <w:r>
              <w:rPr>
                <w:rFonts w:ascii="Calibri" w:hAnsi="Calibri"/>
                <w:b/>
                <w:color w:val="A32D2D"/>
                <w:sz w:val="20"/>
              </w:rPr>
              <w:t xml:space="preserve">▸ </w:t>
            </w:r>
            <w:r>
              <w:rPr>
                <w:rFonts w:ascii="Calibri" w:hAnsi="Calibri"/>
                <w:color w:val="374151"/>
                <w:sz w:val="18"/>
              </w:rPr>
              <w:t>Niche workflow. Specialized tile/grout service narrow customer base.</w:t>
            </w:r>
          </w:p>
          <w:p>
            <w:pPr>
              <w:spacing w:after="60"/>
              <w:ind w:left="144"/>
            </w:pPr>
            <w:r>
              <w:rPr>
                <w:rFonts w:ascii="Calibri" w:hAnsi="Calibri"/>
                <w:b/>
                <w:color w:val="A32D2D"/>
                <w:sz w:val="20"/>
              </w:rPr>
              <w:t xml:space="preserve">▸ </w:t>
            </w:r>
            <w:r>
              <w:rPr>
                <w:rFonts w:ascii="Calibri" w:hAnsi="Calibri"/>
                <w:color w:val="374151"/>
                <w:sz w:val="18"/>
              </w:rPr>
              <w:t>Threshold platform fragility.</w:t>
            </w:r>
          </w:p>
          <w:p>
            <w:pPr>
              <w:spacing w:after="60"/>
              <w:ind w:left="144"/>
            </w:pPr>
            <w:r>
              <w:rPr>
                <w:rFonts w:ascii="Calibri" w:hAnsi="Calibri"/>
                <w:b/>
                <w:color w:val="A32D2D"/>
                <w:sz w:val="20"/>
              </w:rPr>
              <w:t xml:space="preserve">▸ </w:t>
            </w:r>
            <w:r>
              <w:rPr>
                <w:rFonts w:ascii="Calibri" w:hAnsi="Calibri"/>
                <w:color w:val="374151"/>
                <w:sz w:val="18"/>
              </w:rPr>
              <w:t>Brand-pres TBV.</w:t>
            </w:r>
          </w:p>
          <w:p>
            <w:pPr>
              <w:spacing w:after="60"/>
              <w:ind w:left="144"/>
            </w:pPr>
            <w:r>
              <w:rPr>
                <w:rFonts w:ascii="Calibri" w:hAnsi="Calibri"/>
                <w:b/>
                <w:color w:val="A32D2D"/>
                <w:sz w:val="20"/>
              </w:rPr>
              <w:t xml:space="preserve">▸ </w:t>
            </w:r>
            <w:r>
              <w:rPr>
                <w:rFonts w:ascii="Calibri" w:hAnsi="Calibri"/>
                <w:color w:val="374151"/>
                <w:sz w:val="18"/>
              </w:rPr>
              <w:t>Project-based + low dispatch density.</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Sir Grout Brand President</w:t>
            </w:r>
          </w:p>
          <w:p>
            <w:pPr>
              <w:spacing w:after="0"/>
            </w:pPr>
            <w:r>
              <w:rPr>
                <w:rFonts w:ascii="Calibri" w:hAnsi="Calibri"/>
                <w:color w:val="6B7280"/>
                <w:sz w:val="16"/>
              </w:rPr>
              <w:t>TBV</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Brand-level decision-maker.</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Research task</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Ted DeMarino</w:t>
            </w:r>
          </w:p>
          <w:p>
            <w:pPr>
              <w:spacing w:after="0"/>
            </w:pPr>
            <w:r>
              <w:rPr>
                <w:rFonts w:ascii="Calibri" w:hAnsi="Calibri"/>
                <w:color w:val="6B7280"/>
                <w:sz w:val="16"/>
              </w:rPr>
              <w:t>CEO · Threshold</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Direction.</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path</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Threshold Brands Summit</w:t>
      </w:r>
    </w:p>
    <w:p>
      <w:pPr>
        <w:spacing w:after="80"/>
        <w:ind w:left="576"/>
      </w:pPr>
      <w:r>
        <w:rPr>
          <w:rFonts w:ascii="Calibri" w:hAnsi="Calibri"/>
          <w:color w:val="374151"/>
          <w:sz w:val="18"/>
        </w:rPr>
        <w:t>Single-room access.</w:t>
      </w:r>
    </w:p>
    <w:p>
      <w:pPr>
        <w:spacing w:after="40"/>
        <w:ind w:left="144"/>
      </w:pPr>
      <w:r>
        <w:rPr>
          <w:rFonts w:ascii="Calibri" w:hAnsi="Calibri"/>
          <w:b/>
          <w:color w:val="185FA5"/>
          <w:sz w:val="18"/>
        </w:rPr>
        <w:t xml:space="preserve">Annual  ·  </w:t>
      </w:r>
      <w:r>
        <w:rPr>
          <w:rFonts w:ascii="Calibri" w:hAnsi="Calibri"/>
          <w:b/>
          <w:color w:val="1A2B3C"/>
          <w:sz w:val="20"/>
        </w:rPr>
        <w:t>Coverings Trade Show</w:t>
      </w:r>
    </w:p>
    <w:p>
      <w:pPr>
        <w:spacing w:after="80"/>
        <w:ind w:left="576"/>
      </w:pPr>
      <w:r>
        <w:rPr>
          <w:rFonts w:ascii="Calibri" w:hAnsi="Calibri"/>
          <w:color w:val="374151"/>
          <w:sz w:val="18"/>
        </w:rPr>
        <w:t>Largest tile/stone trade event.</w:t>
      </w:r>
    </w:p>
    <w:p>
      <w:pPr>
        <w:spacing w:after="40"/>
        <w:ind w:left="144"/>
      </w:pPr>
      <w:r>
        <w:rPr>
          <w:rFonts w:ascii="Calibri" w:hAnsi="Calibri"/>
          <w:b/>
          <w:color w:val="185FA5"/>
          <w:sz w:val="18"/>
        </w:rPr>
        <w:t xml:space="preserve">Annual  ·  </w:t>
      </w:r>
      <w:r>
        <w:rPr>
          <w:rFonts w:ascii="Calibri" w:hAnsi="Calibri"/>
          <w:b/>
          <w:color w:val="1A2B3C"/>
          <w:sz w:val="20"/>
        </w:rPr>
        <w:t>NTCA Events</w:t>
      </w:r>
    </w:p>
    <w:p>
      <w:pPr>
        <w:spacing w:after="80"/>
        <w:ind w:left="576"/>
      </w:pPr>
      <w:r>
        <w:rPr>
          <w:rFonts w:ascii="Calibri" w:hAnsi="Calibri"/>
          <w:color w:val="374151"/>
          <w:sz w:val="18"/>
        </w:rPr>
        <w:t>National Tile Contractors Association.</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60 (T4 NorthStar) per Track 2 v2 matrix. Drivers: Threshold-stated commitment to brand future, photo documentation native fit, cross-portfolio Grout Medic analog. Reduced by lowest tech-density Threshold brand, niche workflow, project-based low dispatch density. Threshold parent +20 NorthStar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Threshold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