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 NorthStar</w:t>
      </w:r>
    </w:p>
    <w:p>
      <w:pPr>
        <w:spacing w:after="40"/>
      </w:pPr>
      <w:r>
        <w:rPr>
          <w:rFonts w:ascii="Calibri" w:hAnsi="Calibri"/>
          <w:b/>
          <w:color w:val="1A2B3C"/>
          <w:sz w:val="44"/>
        </w:rPr>
        <w:t>USA Insulation</w:t>
      </w:r>
    </w:p>
    <w:p>
      <w:pPr>
        <w:spacing w:after="160"/>
      </w:pPr>
      <w:r>
        <w:rPr>
          <w:rFonts w:ascii="Calibri" w:hAnsi="Calibri"/>
          <w:b/>
          <w:color w:val="185FA5"/>
          <w:sz w:val="20"/>
        </w:rPr>
        <w:t>Score 105  ·  Tier T1  ·  Character: ★ NORTHSTAR · AT-RISK ANCHOR · 75% SB ADOPTED · TRANSITIONING OFF</w:t>
      </w:r>
    </w:p>
    <w:p>
      <w:pPr>
        <w:spacing w:after="160"/>
        <w:pBdr>
          <w:bottom w:val="single" w:sz="8" w:color="185FA5"/>
        </w:pBdr>
      </w:pPr>
    </w:p>
    <w:p>
      <w:pPr>
        <w:spacing w:after="160"/>
      </w:pPr>
      <w:r>
        <w:rPr>
          <w:rFonts w:ascii="Calibri" w:hAnsi="Calibri"/>
          <w:i/>
          <w:color w:val="374151"/>
          <w:sz w:val="20"/>
        </w:rPr>
        <w:t>Residential insulation · Cleveland, OH brand HQ · 75% ServiceBridge-adopted (highest in Threshold) · Franchisor transitioning off ServiceBridge per Andrea April 2026 · RETENTION posture</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75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4</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300 / 300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$9K (defending)</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USA Insulation is the at-risk anchor — 75% ServiceBridge-adopted but transitioning off per franchisor decision. The work here is RETENTION + UNDERSTAND THE WHY, not expansion.</w:t>
            </w:r>
          </w:p>
          <w:p>
            <w:pPr>
              <w:spacing w:after="80" w:line="312" w:lineRule="auto"/>
            </w:pPr>
            <w:r>
              <w:rPr>
                <w:rFonts w:ascii="Calibri" w:hAnsi="Calibri"/>
                <w:color w:val="374151"/>
                <w:sz w:val="20"/>
              </w:rPr>
              <w:t>USA Insulation is the largest single ServiceBridge footprint in the Threshold portfolio — 75% adopted, 56 of 75 locations active. But per Andrea's April 2026 update: the franchisor is making a decision to transition USA Insulation off ServiceBridge over the coming year. That's a confirmed franchisor-level decision, not a franchisee drift. The strategic posture flips from EXPANSION to RETENTION.</w:t>
            </w:r>
          </w:p>
          <w:p>
            <w:pPr>
              <w:spacing w:after="80" w:line="312" w:lineRule="auto"/>
            </w:pPr>
            <w:r>
              <w:rPr>
                <w:rFonts w:ascii="Calibri" w:hAnsi="Calibri"/>
                <w:color w:val="374151"/>
                <w:sz w:val="20"/>
              </w:rPr>
              <w:t>Per Mike's CRM intel: 'The work is twofold: defend what we have, then reposition for what's next.' That means: (1) Understand exactly what's driving the transition decision — is it pricing? Feature gaps? Vendor relationship? Is it reversible? Andrea is the source on this. (2) If the decision is irreversible, accept the loss gracefully and reposition the relationship at the new top (Ted DeMarino + Billy Newby) so Threshold's other 9 brands stay reachable.</w:t>
            </w:r>
          </w:p>
          <w:p>
            <w:pPr>
              <w:spacing w:after="80" w:line="312" w:lineRule="auto"/>
            </w:pPr>
            <w:r>
              <w:rPr>
                <w:rFonts w:ascii="Calibri" w:hAnsi="Calibri"/>
                <w:color w:val="374151"/>
                <w:sz w:val="20"/>
              </w:rPr>
              <w:t>The new leadership context matters: Ted DeMarino became CEO in 2024 (replaced Hagan Kappler). Billy Newby is CFO. Per public LinkedIn: multiple Threshold executives departed in late 2025 (Kappler, Scott, Pitrone, Diiorio). That's a full leadership reset. The USA Insulation transition decision was likely made by either the prior leadership (now departed) or by the new leadership (DeMarino, who came from Liberty Tax with no franchise FSM context). Knowing which informs the retention conversation.</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Currently 75% ServiceBridge-adopted but franchisor decision to transition off. AT-RISK status, not greenfield. Engagement is RETENTION + relationship reset.</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USA Insulation Brand President TBV. Ted DeMarino CEO Threshold (newer in role, retail/finance background — no franchise FSM context). Billy Newby CFO. Multiple executive departures late 2025 = relationship rebuild required.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Primarily residential homeowner insulation. Some light commercial. Project-based 1-2 day installs. Energy-efficiency tailwind.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corporate.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Insulation franchisees = typical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SPFA (Spray Polyurethane Foam Alliance). NIA (National Insulation Association). ICAA (Insulation Contractors Association of America).</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75% existing adoption. We're already in the door — leverage existing franchisee relationships.</w:t>
            </w:r>
          </w:p>
          <w:p>
            <w:pPr>
              <w:spacing w:after="60"/>
              <w:ind w:left="144"/>
            </w:pPr>
            <w:r>
              <w:rPr>
                <w:rFonts w:ascii="Calibri" w:hAnsi="Calibri"/>
                <w:b/>
                <w:color w:val="2D6A4F"/>
                <w:sz w:val="20"/>
              </w:rPr>
              <w:t xml:space="preserve">▸ </w:t>
            </w:r>
            <w:r>
              <w:rPr>
                <w:rFonts w:ascii="Calibri" w:hAnsi="Calibri"/>
                <w:color w:val="374151"/>
                <w:sz w:val="18"/>
              </w:rPr>
              <w:t>Andrea direct intel source on transition driver. Critical to understand BEFORE next outreach.</w:t>
            </w:r>
          </w:p>
          <w:p>
            <w:pPr>
              <w:spacing w:after="60"/>
              <w:ind w:left="144"/>
            </w:pPr>
            <w:r>
              <w:rPr>
                <w:rFonts w:ascii="Calibri" w:hAnsi="Calibri"/>
                <w:b/>
                <w:color w:val="2D6A4F"/>
                <w:sz w:val="20"/>
              </w:rPr>
              <w:t xml:space="preserve">▸ </w:t>
            </w:r>
            <w:r>
              <w:rPr>
                <w:rFonts w:ascii="Calibri" w:hAnsi="Calibri"/>
                <w:color w:val="374151"/>
                <w:sz w:val="18"/>
              </w:rPr>
              <w:t>Cross-brand wedge. Defending USA Insulation = preserving access to remaining 9 Threshold brands.</w:t>
            </w:r>
          </w:p>
          <w:p>
            <w:pPr>
              <w:spacing w:after="60"/>
              <w:ind w:left="144"/>
            </w:pPr>
            <w:r>
              <w:rPr>
                <w:rFonts w:ascii="Calibri" w:hAnsi="Calibri"/>
                <w:b/>
                <w:color w:val="2D6A4F"/>
                <w:sz w:val="20"/>
              </w:rPr>
              <w:t xml:space="preserve">▸ </w:t>
            </w:r>
            <w:r>
              <w:rPr>
                <w:rFonts w:ascii="Calibri" w:hAnsi="Calibri"/>
                <w:color w:val="374151"/>
                <w:sz w:val="18"/>
              </w:rPr>
              <w:t>Energy-efficiency tailwind. Insulation demand structurally growing.</w:t>
            </w:r>
          </w:p>
          <w:p>
            <w:pPr>
              <w:spacing w:after="60"/>
              <w:ind w:left="144"/>
            </w:pPr>
            <w:r>
              <w:rPr>
                <w:rFonts w:ascii="Calibri" w:hAnsi="Calibri"/>
                <w:b/>
                <w:color w:val="2D6A4F"/>
                <w:sz w:val="20"/>
              </w:rPr>
              <w:t xml:space="preserve">▸ </w:t>
            </w:r>
            <w:r>
              <w:rPr>
                <w:rFonts w:ascii="Calibri" w:hAnsi="Calibri"/>
                <w:color w:val="374151"/>
                <w:sz w:val="18"/>
              </w:rPr>
              <w:t>Riverside PE coordination opportunity. Same firm owns Evive — coordinated pivot conversation possible.</w:t>
            </w:r>
          </w:p>
          <w:p>
            <w:pPr>
              <w:spacing w:after="60"/>
              <w:ind w:left="144"/>
            </w:pPr>
            <w:r>
              <w:rPr>
                <w:rFonts w:ascii="Calibri" w:hAnsi="Calibri"/>
                <w:b/>
                <w:color w:val="2D6A4F"/>
                <w:sz w:val="20"/>
              </w:rPr>
              <w:t xml:space="preserve">▸ </w:t>
            </w:r>
            <w:r>
              <w:rPr>
                <w:rFonts w:ascii="Calibri" w:hAnsi="Calibri"/>
                <w:color w:val="374151"/>
                <w:sz w:val="18"/>
              </w:rPr>
              <w:t>USA Insulation franchisees may push back on transition. Operator-level inbound = retention intel.</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 Franchisor decision to transition off SB. AT-RISK status. Defending more than expanding.</w:t>
            </w:r>
          </w:p>
          <w:p>
            <w:pPr>
              <w:spacing w:after="60"/>
              <w:ind w:left="144"/>
            </w:pPr>
            <w:r>
              <w:rPr>
                <w:rFonts w:ascii="Calibri" w:hAnsi="Calibri"/>
                <w:b/>
                <w:color w:val="A32D2D"/>
                <w:sz w:val="20"/>
              </w:rPr>
              <w:t xml:space="preserve">▸ </w:t>
            </w:r>
            <w:r>
              <w:rPr>
                <w:rFonts w:ascii="Calibri" w:hAnsi="Calibri"/>
                <w:color w:val="374151"/>
                <w:sz w:val="18"/>
              </w:rPr>
              <w:t>Full Threshold leadership reset late 2025. Decision-makers are new — no relationship history.</w:t>
            </w:r>
          </w:p>
          <w:p>
            <w:pPr>
              <w:spacing w:after="60"/>
              <w:ind w:left="144"/>
            </w:pPr>
            <w:r>
              <w:rPr>
                <w:rFonts w:ascii="Calibri" w:hAnsi="Calibri"/>
                <w:b/>
                <w:color w:val="A32D2D"/>
                <w:sz w:val="20"/>
              </w:rPr>
              <w:t xml:space="preserve">▸ </w:t>
            </w:r>
            <w:r>
              <w:rPr>
                <w:rFonts w:ascii="Calibri" w:hAnsi="Calibri"/>
                <w:color w:val="374151"/>
                <w:sz w:val="18"/>
              </w:rPr>
              <w:t>Ted DeMarino background (Liberty Tax + Rent-A-Center) = retail operations focus, not franchise FSM context.</w:t>
            </w:r>
          </w:p>
          <w:p>
            <w:pPr>
              <w:spacing w:after="60"/>
              <w:ind w:left="144"/>
            </w:pPr>
            <w:r>
              <w:rPr>
                <w:rFonts w:ascii="Calibri" w:hAnsi="Calibri"/>
                <w:b/>
                <w:color w:val="A32D2D"/>
                <w:sz w:val="20"/>
              </w:rPr>
              <w:t xml:space="preserve">▸ </w:t>
            </w:r>
            <w:r>
              <w:rPr>
                <w:rFonts w:ascii="Calibri" w:hAnsi="Calibri"/>
                <w:color w:val="374151"/>
                <w:sz w:val="18"/>
              </w:rPr>
              <w:t>Brand-pres TBV with no clear identification.</w:t>
            </w:r>
          </w:p>
          <w:p>
            <w:pPr>
              <w:spacing w:after="60"/>
              <w:ind w:left="144"/>
            </w:pPr>
            <w:r>
              <w:rPr>
                <w:rFonts w:ascii="Calibri" w:hAnsi="Calibri"/>
                <w:b/>
                <w:color w:val="A32D2D"/>
                <w:sz w:val="20"/>
              </w:rPr>
              <w:t xml:space="preserve">▸ </w:t>
            </w:r>
            <w:r>
              <w:rPr>
                <w:rFonts w:ascii="Calibri" w:hAnsi="Calibri"/>
                <w:color w:val="374151"/>
                <w:sz w:val="18"/>
              </w:rPr>
              <w:t>Smallest engageable scale defending. 75 locs · 300 techs.</w:t>
            </w:r>
          </w:p>
          <w:p>
            <w:pPr>
              <w:spacing w:after="60"/>
              <w:ind w:left="144"/>
            </w:pPr>
            <w:r>
              <w:rPr>
                <w:rFonts w:ascii="Calibri" w:hAnsi="Calibri"/>
                <w:b/>
                <w:color w:val="A32D2D"/>
                <w:sz w:val="20"/>
              </w:rPr>
              <w:t xml:space="preserve">▸ </w:t>
            </w:r>
            <w:r>
              <w:rPr>
                <w:rFonts w:ascii="Calibri" w:hAnsi="Calibri"/>
                <w:color w:val="374151"/>
                <w:sz w:val="18"/>
              </w:rPr>
              <w:t>ServiceBridge displacement story may already be locked in.</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 Brands (since 2024)</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Replaced Hagan Kappler. Liberty Tax + Rent-A-Center background. Retail operations focus. Newer to franchise FSM context.</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reset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Billy Newby</w:t>
            </w:r>
          </w:p>
          <w:p>
            <w:pPr>
              <w:spacing w:after="0"/>
            </w:pPr>
            <w:r>
              <w:rPr>
                <w:rFonts w:ascii="Calibri" w:hAnsi="Calibri"/>
                <w:color w:val="6B7280"/>
                <w:sz w:val="16"/>
              </w:rPr>
              <w:t>CFO · Threshold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Financial gatekeeper. Critical for any platform-level pricing conversation.</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Cory Hughes</w:t>
            </w:r>
          </w:p>
          <w:p>
            <w:pPr>
              <w:spacing w:after="0"/>
            </w:pPr>
            <w:r>
              <w:rPr>
                <w:rFonts w:ascii="Calibri" w:hAnsi="Calibri"/>
                <w:color w:val="6B7280"/>
                <w:sz w:val="16"/>
              </w:rPr>
              <w:t>COO · Threshold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Operations across all brands.</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USA Insulation Brand President</w:t>
            </w:r>
          </w:p>
          <w:p>
            <w:pPr>
              <w:spacing w:after="0"/>
            </w:pPr>
            <w:r>
              <w:rPr>
                <w:rFonts w:ascii="Calibri" w:hAnsi="Calibri"/>
                <w:color w:val="6B7280"/>
                <w:sz w:val="16"/>
              </w:rPr>
              <w:t>TBV</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Brand-level decision authority. Identification urgent.</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Research task</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Loren Schlachet</w:t>
            </w:r>
          </w:p>
          <w:p>
            <w:pPr>
              <w:spacing w:after="0"/>
            </w:pPr>
            <w:r>
              <w:rPr>
                <w:rFonts w:ascii="Calibri" w:hAnsi="Calibri"/>
                <w:color w:val="6B7280"/>
                <w:sz w:val="16"/>
              </w:rPr>
              <w:t>Managing Partner · Riverside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PE-level. Riverside owns both Evive + Threshold = coordinated.</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Via GPSI/Charles</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 if accessible.</w:t>
      </w:r>
    </w:p>
    <w:p>
      <w:pPr>
        <w:spacing w:after="40"/>
        <w:ind w:left="144"/>
      </w:pPr>
      <w:r>
        <w:rPr>
          <w:rFonts w:ascii="Calibri" w:hAnsi="Calibri"/>
          <w:b/>
          <w:color w:val="185FA5"/>
          <w:sz w:val="18"/>
        </w:rPr>
        <w:t xml:space="preserve">Annual (Feb)  ·  </w:t>
      </w:r>
      <w:r>
        <w:rPr>
          <w:rFonts w:ascii="Calibri" w:hAnsi="Calibri"/>
          <w:b/>
          <w:color w:val="1A2B3C"/>
          <w:sz w:val="20"/>
        </w:rPr>
        <w:t>SPFA Conference</w:t>
      </w:r>
    </w:p>
    <w:p>
      <w:pPr>
        <w:spacing w:after="80"/>
        <w:ind w:left="576"/>
      </w:pPr>
      <w:r>
        <w:rPr>
          <w:rFonts w:ascii="Calibri" w:hAnsi="Calibri"/>
          <w:color w:val="374151"/>
          <w:sz w:val="18"/>
        </w:rPr>
        <w:t>Spray Polyurethane Foam Alliance.</w:t>
      </w:r>
    </w:p>
    <w:p>
      <w:pPr>
        <w:spacing w:after="40"/>
        <w:ind w:left="144"/>
      </w:pPr>
      <w:r>
        <w:rPr>
          <w:rFonts w:ascii="Calibri" w:hAnsi="Calibri"/>
          <w:b/>
          <w:color w:val="185FA5"/>
          <w:sz w:val="18"/>
        </w:rPr>
        <w:t xml:space="preserve">Annual  ·  </w:t>
      </w:r>
      <w:r>
        <w:rPr>
          <w:rFonts w:ascii="Calibri" w:hAnsi="Calibri"/>
          <w:b/>
          <w:color w:val="1A2B3C"/>
          <w:sz w:val="20"/>
        </w:rPr>
        <w:t>NIA + ICAA</w:t>
      </w:r>
    </w:p>
    <w:p>
      <w:pPr>
        <w:spacing w:after="80"/>
        <w:ind w:left="576"/>
      </w:pPr>
      <w:r>
        <w:rPr>
          <w:rFonts w:ascii="Calibri" w:hAnsi="Calibri"/>
          <w:color w:val="374151"/>
          <w:sz w:val="18"/>
        </w:rPr>
        <w:t>Insulation industry events.</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105 (T1 NorthStar AT-RISK) per Track 2 v2 matrix. Drivers: 75% existing ServiceBridge adoption (defensive value), cross-brand wedge to remaining Threshold brands, Riverside PE coordination opportunity. Reduced by franchisor decision to transition off (AT-RISK status), full leadership reset late 2025, Ted DeMarino unfamiliarity with franchise FSM context. RETENTION posture, not expansion. Threshold parent +20 NorthStar bonus (lower than Evive reflecting AT-RISK status).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