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3EAF" w14:textId="77777777" w:rsidR="00E13BBF" w:rsidRDefault="00000000">
      <w:pPr>
        <w:spacing w:after="40"/>
      </w:pPr>
      <w:r>
        <w:rPr>
          <w:rFonts w:ascii="Calibri" w:hAnsi="Calibri"/>
          <w:b/>
          <w:color w:val="6B7280"/>
          <w:sz w:val="16"/>
        </w:rPr>
        <w:t>VELOCITY GTM CO  ·  ServiceBridge GTM  ·  HomeFront Brands  ·  Track 2 P1 #7</w:t>
      </w:r>
    </w:p>
    <w:p w14:paraId="79EE8F5F" w14:textId="77777777" w:rsidR="00E13BBF" w:rsidRDefault="00000000">
      <w:pPr>
        <w:spacing w:after="40"/>
      </w:pPr>
      <w:r>
        <w:rPr>
          <w:rFonts w:ascii="Calibri" w:hAnsi="Calibri"/>
          <w:b/>
          <w:color w:val="1A2B3C"/>
          <w:sz w:val="44"/>
        </w:rPr>
        <w:t>Temporary Wall Systems</w:t>
      </w:r>
    </w:p>
    <w:p w14:paraId="4FFF1A82" w14:textId="77777777" w:rsidR="00E13BBF" w:rsidRDefault="00000000">
      <w:pPr>
        <w:spacing w:after="160"/>
      </w:pPr>
      <w:r>
        <w:rPr>
          <w:rFonts w:ascii="Calibri" w:hAnsi="Calibri"/>
          <w:b/>
          <w:color w:val="185FA5"/>
          <w:sz w:val="20"/>
        </w:rPr>
        <w:t>Score 48  ·  Tier T5  ·  Character: MONITOR-MODE · T5 NORTHSTAR · B2B COMMERCIAL CONTAINMENT</w:t>
      </w:r>
    </w:p>
    <w:p w14:paraId="08A8D5C1" w14:textId="77777777" w:rsidR="00E13BBF" w:rsidRDefault="00E13BBF">
      <w:pPr>
        <w:pBdr>
          <w:bottom w:val="single" w:sz="8" w:space="0" w:color="185FA5"/>
        </w:pBdr>
        <w:spacing w:after="160"/>
      </w:pPr>
    </w:p>
    <w:p w14:paraId="501D0F80" w14:textId="77777777" w:rsidR="00E13BBF" w:rsidRDefault="00000000">
      <w:pPr>
        <w:spacing w:after="160"/>
      </w:pPr>
      <w:r>
        <w:rPr>
          <w:rFonts w:ascii="Calibri" w:hAnsi="Calibri"/>
          <w:i/>
          <w:color w:val="374151"/>
          <w:sz w:val="20"/>
        </w:rPr>
        <w:t>Modular rentable containment walls for occupied commercial renovations · 100% B2B · Largest national provider · HomeFront's most differentiated brand</w:t>
      </w:r>
    </w:p>
    <w:tbl>
      <w:tblPr>
        <w:tblW w:w="0" w:type="auto"/>
        <w:jc w:val="center"/>
        <w:tblLook w:val="04A0" w:firstRow="1" w:lastRow="0" w:firstColumn="1" w:lastColumn="0" w:noHBand="0" w:noVBand="1"/>
      </w:tblPr>
      <w:tblGrid>
        <w:gridCol w:w="2518"/>
        <w:gridCol w:w="2517"/>
        <w:gridCol w:w="2518"/>
        <w:gridCol w:w="2517"/>
      </w:tblGrid>
      <w:tr w:rsidR="00E13BBF" w14:paraId="7B3A3902"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5E878CC" w14:textId="77777777" w:rsidR="00E13BBF" w:rsidRDefault="00000000">
            <w:pPr>
              <w:spacing w:after="40"/>
            </w:pPr>
            <w:r>
              <w:rPr>
                <w:rFonts w:ascii="Calibri" w:hAnsi="Calibri"/>
                <w:b/>
                <w:color w:val="6B7280"/>
                <w:sz w:val="16"/>
              </w:rPr>
              <w:t>LOCATIONS</w:t>
            </w:r>
          </w:p>
          <w:p w14:paraId="426ECEAD" w14:textId="77777777" w:rsidR="00E13BBF"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FFB8EE7" w14:textId="77777777" w:rsidR="00E13BBF" w:rsidRDefault="00000000">
            <w:pPr>
              <w:spacing w:after="40"/>
            </w:pPr>
            <w:r>
              <w:rPr>
                <w:rFonts w:ascii="Calibri" w:hAnsi="Calibri"/>
                <w:b/>
                <w:color w:val="6B7280"/>
                <w:sz w:val="16"/>
              </w:rPr>
              <w:t>TECHS / LOC</w:t>
            </w:r>
          </w:p>
          <w:p w14:paraId="60A5F567" w14:textId="77777777" w:rsidR="00E13BBF"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9C4672E" w14:textId="77777777" w:rsidR="00E13BBF" w:rsidRDefault="00000000">
            <w:pPr>
              <w:spacing w:after="40"/>
            </w:pPr>
            <w:r>
              <w:rPr>
                <w:rFonts w:ascii="Calibri" w:hAnsi="Calibri"/>
                <w:b/>
                <w:color w:val="6B7280"/>
                <w:sz w:val="16"/>
              </w:rPr>
              <w:t>TOTAL / ENGAGEABLE</w:t>
            </w:r>
          </w:p>
          <w:p w14:paraId="5EB725BA" w14:textId="77777777" w:rsidR="00E13BBF" w:rsidRDefault="00000000">
            <w:pPr>
              <w:spacing w:after="0"/>
            </w:pPr>
            <w:r>
              <w:rPr>
                <w:rFonts w:ascii="Calibri" w:hAnsi="Calibri"/>
                <w:b/>
                <w:color w:val="1A2B3C"/>
              </w:rPr>
              <w:t>450 / 450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332F3E7E" w14:textId="77777777" w:rsidR="00E13BBF" w:rsidRDefault="00000000">
            <w:pPr>
              <w:spacing w:after="40"/>
            </w:pPr>
            <w:r>
              <w:rPr>
                <w:rFonts w:ascii="Calibri" w:hAnsi="Calibri"/>
                <w:b/>
                <w:color w:val="6B7280"/>
                <w:sz w:val="16"/>
              </w:rPr>
              <w:t>Y1 ARR @ 10%</w:t>
            </w:r>
          </w:p>
          <w:p w14:paraId="367D2D28" w14:textId="77777777" w:rsidR="00E13BBF" w:rsidRDefault="00000000">
            <w:pPr>
              <w:spacing w:after="0"/>
            </w:pPr>
            <w:r>
              <w:rPr>
                <w:rFonts w:ascii="Calibri" w:hAnsi="Calibri"/>
                <w:b/>
                <w:color w:val="1A2B3C"/>
              </w:rPr>
              <w:t>$13.5K</w:t>
            </w:r>
          </w:p>
        </w:tc>
      </w:tr>
    </w:tbl>
    <w:p w14:paraId="03AA0DFF" w14:textId="77777777" w:rsidR="00E13BBF" w:rsidRDefault="00E13BBF">
      <w:pPr>
        <w:spacing w:after="80"/>
      </w:pPr>
    </w:p>
    <w:tbl>
      <w:tblPr>
        <w:tblW w:w="0" w:type="auto"/>
        <w:jc w:val="center"/>
        <w:tblLook w:val="04A0" w:firstRow="1" w:lastRow="0" w:firstColumn="1" w:lastColumn="0" w:noHBand="0" w:noVBand="1"/>
      </w:tblPr>
      <w:tblGrid>
        <w:gridCol w:w="10064"/>
      </w:tblGrid>
      <w:tr w:rsidR="00E13BBF" w14:paraId="39B1715B"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2DE7A450" w14:textId="77777777" w:rsidR="00E13BBF" w:rsidRDefault="00000000">
            <w:pPr>
              <w:spacing w:after="80"/>
            </w:pPr>
            <w:r>
              <w:rPr>
                <w:rFonts w:ascii="Calibri" w:hAnsi="Calibri"/>
                <w:b/>
                <w:color w:val="B8860B"/>
                <w:sz w:val="18"/>
              </w:rPr>
              <w:t>MY READ</w:t>
            </w:r>
          </w:p>
          <w:p w14:paraId="2A975F24" w14:textId="77777777" w:rsidR="00E13BBF" w:rsidRDefault="00000000">
            <w:pPr>
              <w:spacing w:after="120"/>
            </w:pPr>
            <w:r>
              <w:rPr>
                <w:rFonts w:ascii="Calibri" w:hAnsi="Calibri"/>
                <w:b/>
                <w:color w:val="1A2B3C"/>
                <w:sz w:val="24"/>
              </w:rPr>
              <w:t>TWS is 100% B2B commercial — modular wall rental for occupied building renovations. Different sales motion than residential brands. Caution flag for fit profile mismatch with rest of Track 2.</w:t>
            </w:r>
          </w:p>
          <w:p w14:paraId="0C29A5E6" w14:textId="77777777" w:rsidR="00E13BBF" w:rsidRDefault="00000000">
            <w:pPr>
              <w:spacing w:after="80" w:line="312" w:lineRule="auto"/>
            </w:pPr>
            <w:r>
              <w:rPr>
                <w:rFonts w:ascii="Calibri" w:hAnsi="Calibri"/>
                <w:color w:val="374151"/>
                <w:sz w:val="20"/>
              </w:rPr>
              <w:t>Temporary Wall Systems provides modular, rentable containment walls — used when commercial properties (offices, hospitals, retail) need renovation while still operating. Hospital wing under construction? Put up TWS containment walls to keep dust out of patient areas. Retail store remodeling but still open? TWS walls section off the construction zone. The brand is 100% B2B — facility managers, construction operators, hospitals, large retail. Per HomeFront materials: 'the largest national provider of modular, rentable containment solutions for occupied commercial renovations and construction.'</w:t>
            </w:r>
          </w:p>
          <w:p w14:paraId="34CE1669" w14:textId="77777777" w:rsidR="00E13BBF" w:rsidRDefault="00000000">
            <w:pPr>
              <w:spacing w:after="80" w:line="312" w:lineRule="auto"/>
            </w:pPr>
            <w:r>
              <w:rPr>
                <w:rFonts w:ascii="Calibri" w:hAnsi="Calibri"/>
                <w:color w:val="374151"/>
                <w:sz w:val="20"/>
              </w:rPr>
              <w:t>From a ServiceBridge fit perspective, this is a different sales motion than the rest of HomeFront (or Track 2 broadly). B2B commercial work has longer sales cycles, account-based selling (vs. transactional residential), and rental/recurring revenue (not one-time service). The workflow has its own complexity: warehouse inventory, delivery scheduling, on-site installation, rental period tracking, removal/cleaning, return to warehouse. ServiceBridge can handle commercial workflows but the value prop differs from residential.</w:t>
            </w:r>
          </w:p>
          <w:p w14:paraId="613E9A47" w14:textId="77777777" w:rsidR="00E13BBF" w:rsidRDefault="00000000">
            <w:pPr>
              <w:spacing w:after="80" w:line="312" w:lineRule="auto"/>
            </w:pPr>
            <w:r>
              <w:rPr>
                <w:rFonts w:ascii="Calibri" w:hAnsi="Calibri"/>
                <w:color w:val="374151"/>
                <w:sz w:val="20"/>
              </w:rPr>
              <w:t>Strategic position: TWS is a parallel separate engagement track within HomeFront — like JAN-PRO at Empower. Don't bundle TWS into the residential-brand pitch (Window Hero, Top Rail Fence, etc.). Win Window Hero first. TWS can follow as a specialized B2B engagement after the Window Hero motion proves out.</w:t>
            </w:r>
          </w:p>
        </w:tc>
      </w:tr>
    </w:tbl>
    <w:p w14:paraId="6756888C" w14:textId="77777777" w:rsidR="00E13BBF" w:rsidRDefault="00E13BBF">
      <w:pPr>
        <w:spacing w:after="80"/>
      </w:pPr>
    </w:p>
    <w:p w14:paraId="7DC1508D" w14:textId="77777777" w:rsidR="00E13BBF"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E13BBF" w14:paraId="0D2B1C62"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7C3C2E6D" w14:textId="77777777" w:rsidR="00E13BBF"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2BCDF985" w14:textId="77777777" w:rsidR="00E13BBF"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17EA28C7" w14:textId="77777777" w:rsidR="00E13BBF" w:rsidRDefault="00000000">
            <w:pPr>
              <w:spacing w:after="0"/>
            </w:pPr>
            <w:r>
              <w:rPr>
                <w:rFonts w:ascii="Calibri" w:hAnsi="Calibri"/>
                <w:b/>
                <w:color w:val="FFFFFF"/>
                <w:sz w:val="18"/>
              </w:rPr>
              <w:t>NARRATIVE</w:t>
            </w:r>
          </w:p>
        </w:tc>
      </w:tr>
      <w:tr w:rsidR="00E13BBF" w14:paraId="52A8DC7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9EC9705" w14:textId="77777777" w:rsidR="00E13BBF"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146A763B" w14:textId="77777777" w:rsidR="00E13BB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53467FFD" w14:textId="77777777" w:rsidR="00E13BBF" w:rsidRDefault="00000000">
            <w:pPr>
              <w:spacing w:after="0"/>
            </w:pPr>
            <w:r>
              <w:rPr>
                <w:rFonts w:ascii="Calibri" w:hAnsi="Calibri"/>
                <w:color w:val="374151"/>
                <w:sz w:val="18"/>
              </w:rPr>
              <w:t>Not ST-mandated. No FSM mandate. FSM layer open. Real greenfield.</w:t>
            </w:r>
          </w:p>
        </w:tc>
      </w:tr>
      <w:tr w:rsidR="00E13BBF" w14:paraId="3CFCAFE5"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31F5724" w14:textId="77777777" w:rsidR="00E13BBF"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545ECE9A" w14:textId="77777777" w:rsidR="00E13BBF"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5428D192" w14:textId="77777777" w:rsidR="00E13BBF" w:rsidRDefault="00000000">
            <w:pPr>
              <w:spacing w:after="0"/>
            </w:pPr>
            <w:r>
              <w:rPr>
                <w:rFonts w:ascii="Calibri" w:hAnsi="Calibri"/>
                <w:color w:val="374151"/>
                <w:sz w:val="18"/>
              </w:rPr>
              <w:t>TWS Brand President TBV. Jeff Dudan content-first approach. Zack Dudan more accessible.</w:t>
            </w:r>
          </w:p>
        </w:tc>
      </w:tr>
      <w:tr w:rsidR="00E13BBF" w14:paraId="5BFEE8F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4F4C693" w14:textId="77777777" w:rsidR="00E13BBF"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7D72BBD5" w14:textId="77777777" w:rsidR="00E13BBF"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359CD0B1" w14:textId="77777777" w:rsidR="00E13BBF" w:rsidRDefault="00000000">
            <w:pPr>
              <w:spacing w:after="0"/>
            </w:pPr>
            <w:r>
              <w:rPr>
                <w:rFonts w:ascii="Calibri" w:hAnsi="Calibri"/>
                <w:color w:val="374151"/>
                <w:sz w:val="18"/>
              </w:rPr>
              <w:t>100% B2B commercial. Different workflow profile from rest of HomeFront. ServiceBridge has commercial strengths but B2B account-based selling differs from residential.</w:t>
            </w:r>
          </w:p>
        </w:tc>
      </w:tr>
      <w:tr w:rsidR="00E13BBF" w14:paraId="484414A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D3B732A" w14:textId="77777777" w:rsidR="00E13BBF"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4CBDF7A3" w14:textId="77777777" w:rsidR="00E13BBF"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2ED1F8D7" w14:textId="77777777" w:rsidR="00E13BBF" w:rsidRDefault="00000000">
            <w:pPr>
              <w:spacing w:after="0"/>
            </w:pPr>
            <w:r>
              <w:rPr>
                <w:rFonts w:ascii="Calibri" w:hAnsi="Calibri"/>
                <w:color w:val="374151"/>
                <w:sz w:val="18"/>
              </w:rPr>
              <w:t>HomeFront central support; B2B account management is brand-level. Validate.</w:t>
            </w:r>
          </w:p>
        </w:tc>
      </w:tr>
      <w:tr w:rsidR="00E13BBF" w14:paraId="19AEDE5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6D99F50" w14:textId="77777777" w:rsidR="00E13BBF"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5C1ACF0" w14:textId="77777777" w:rsidR="00E13BBF"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421423D1" w14:textId="77777777" w:rsidR="00E13BBF" w:rsidRDefault="00000000">
            <w:pPr>
              <w:spacing w:after="0"/>
            </w:pPr>
            <w:r>
              <w:rPr>
                <w:rFonts w:ascii="Calibri" w:hAnsi="Calibri"/>
                <w:color w:val="374151"/>
                <w:sz w:val="18"/>
              </w:rPr>
              <w:t>B2B franchisees may use larger ERP than QB. Validate.</w:t>
            </w:r>
          </w:p>
        </w:tc>
      </w:tr>
      <w:tr w:rsidR="00E13BBF" w14:paraId="08C6A9F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494B281" w14:textId="77777777" w:rsidR="00E13BBF"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790E537" w14:textId="77777777" w:rsidR="00E13BB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CB64D77" w14:textId="77777777" w:rsidR="00E13BBF" w:rsidRDefault="00000000">
            <w:pPr>
              <w:spacing w:after="0"/>
            </w:pPr>
            <w:r>
              <w:rPr>
                <w:rFonts w:ascii="Calibri" w:hAnsi="Calibri"/>
                <w:color w:val="374151"/>
                <w:sz w:val="18"/>
              </w:rPr>
              <w:t>HomeComing Convention. ASHE (American Society for Healthcare Engineering — hospital construction). AGC (Associated General Contractors). Construction industry events.</w:t>
            </w:r>
          </w:p>
        </w:tc>
      </w:tr>
    </w:tbl>
    <w:p w14:paraId="487268FA" w14:textId="77777777" w:rsidR="00E13BBF" w:rsidRDefault="00E13BBF">
      <w:pPr>
        <w:spacing w:after="80"/>
      </w:pPr>
    </w:p>
    <w:p w14:paraId="68322445" w14:textId="77777777" w:rsidR="00E13BBF"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E13BBF" w14:paraId="40EB4E54"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66A66905" w14:textId="77777777" w:rsidR="00E13BBF" w:rsidRDefault="00000000">
            <w:pPr>
              <w:spacing w:after="0"/>
            </w:pPr>
            <w:r>
              <w:rPr>
                <w:rFonts w:ascii="Calibri" w:hAnsi="Calibri"/>
                <w:b/>
                <w:color w:val="2D6A4F"/>
                <w:sz w:val="20"/>
              </w:rPr>
              <w:lastRenderedPageBreak/>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1917CB9F" w14:textId="77777777" w:rsidR="00E13BBF" w:rsidRDefault="00000000">
            <w:pPr>
              <w:spacing w:after="0"/>
            </w:pPr>
            <w:r>
              <w:rPr>
                <w:rFonts w:ascii="Calibri" w:hAnsi="Calibri"/>
                <w:b/>
                <w:color w:val="A32D2D"/>
                <w:sz w:val="20"/>
              </w:rPr>
              <w:t>WHAT WE'D CHALLENGE</w:t>
            </w:r>
          </w:p>
        </w:tc>
      </w:tr>
      <w:tr w:rsidR="00E13BBF" w14:paraId="6FBCE3AF"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1E28D5DE" w14:textId="77777777" w:rsidR="00E13BBF" w:rsidRDefault="00E13BBF">
            <w:pPr>
              <w:spacing w:after="0"/>
            </w:pPr>
          </w:p>
          <w:p w14:paraId="1FA167F6" w14:textId="77777777" w:rsidR="00E13BBF" w:rsidRDefault="00000000">
            <w:pPr>
              <w:spacing w:after="60"/>
              <w:ind w:left="144"/>
            </w:pPr>
            <w:r>
              <w:rPr>
                <w:rFonts w:ascii="Calibri" w:hAnsi="Calibri"/>
                <w:b/>
                <w:color w:val="2D6A4F"/>
                <w:sz w:val="20"/>
              </w:rPr>
              <w:t xml:space="preserve">▸ </w:t>
            </w:r>
            <w:r>
              <w:rPr>
                <w:rFonts w:ascii="Calibri" w:hAnsi="Calibri"/>
                <w:color w:val="374151"/>
                <w:sz w:val="18"/>
              </w:rPr>
              <w:t>Largest national provider in category. Brand authority real.</w:t>
            </w:r>
          </w:p>
          <w:p w14:paraId="0E1E18B2" w14:textId="77777777" w:rsidR="00E13BBF" w:rsidRDefault="00000000">
            <w:pPr>
              <w:spacing w:after="60"/>
              <w:ind w:left="144"/>
            </w:pPr>
            <w:r>
              <w:rPr>
                <w:rFonts w:ascii="Calibri" w:hAnsi="Calibri"/>
                <w:b/>
                <w:color w:val="2D6A4F"/>
                <w:sz w:val="20"/>
              </w:rPr>
              <w:t xml:space="preserve">▸ </w:t>
            </w:r>
            <w:r>
              <w:rPr>
                <w:rFonts w:ascii="Calibri" w:hAnsi="Calibri"/>
                <w:color w:val="374151"/>
                <w:sz w:val="18"/>
              </w:rPr>
              <w:t>B2B recurring rental revenue. Higher AOV per account.</w:t>
            </w:r>
          </w:p>
          <w:p w14:paraId="33A60D5A" w14:textId="77777777" w:rsidR="00E13BBF" w:rsidRDefault="00000000">
            <w:pPr>
              <w:spacing w:after="60"/>
              <w:ind w:left="144"/>
            </w:pPr>
            <w:r>
              <w:rPr>
                <w:rFonts w:ascii="Calibri" w:hAnsi="Calibri"/>
                <w:b/>
                <w:color w:val="2D6A4F"/>
                <w:sz w:val="20"/>
              </w:rPr>
              <w:t xml:space="preserve">▸ </w:t>
            </w:r>
            <w:r>
              <w:rPr>
                <w:rFonts w:ascii="Calibri" w:hAnsi="Calibri"/>
                <w:color w:val="374151"/>
                <w:sz w:val="18"/>
              </w:rPr>
              <w:t>Commercial construction tailwind. Healthcare + retail renovation demand.</w:t>
            </w:r>
          </w:p>
          <w:p w14:paraId="045B0160" w14:textId="77777777" w:rsidR="00E13BBF" w:rsidRDefault="00000000">
            <w:pPr>
              <w:spacing w:after="60"/>
              <w:ind w:left="144"/>
            </w:pPr>
            <w:r>
              <w:rPr>
                <w:rFonts w:ascii="Calibri" w:hAnsi="Calibri"/>
                <w:b/>
                <w:color w:val="2D6A4F"/>
                <w:sz w:val="20"/>
              </w:rPr>
              <w:t xml:space="preserve">▸ </w:t>
            </w:r>
            <w:r>
              <w:rPr>
                <w:rFonts w:ascii="Calibri" w:hAnsi="Calibri"/>
                <w:color w:val="374151"/>
                <w:sz w:val="18"/>
              </w:rPr>
              <w:t>Differentiated workflow — warehouse + delivery + install + rental tracking + return.</w:t>
            </w:r>
          </w:p>
          <w:p w14:paraId="325084E3" w14:textId="77777777" w:rsidR="00E13BBF" w:rsidRDefault="00000000">
            <w:pPr>
              <w:spacing w:after="60"/>
              <w:ind w:left="144"/>
            </w:pPr>
            <w:r>
              <w:rPr>
                <w:rFonts w:ascii="Calibri" w:hAnsi="Calibri"/>
                <w:b/>
                <w:color w:val="2D6A4F"/>
                <w:sz w:val="20"/>
              </w:rPr>
              <w:t xml:space="preserve">▸ </w:t>
            </w:r>
            <w:r>
              <w:rPr>
                <w:rFonts w:ascii="Calibri" w:hAnsi="Calibri"/>
                <w:color w:val="374151"/>
                <w:sz w:val="18"/>
              </w:rPr>
              <w:t>Cross-brand bundle within HomeFront after Window Hero proves out.</w:t>
            </w:r>
          </w:p>
        </w:tc>
        <w:tc>
          <w:tcPr>
            <w:tcW w:w="5040" w:type="dxa"/>
            <w:tcBorders>
              <w:top w:val="single" w:sz="4" w:space="0" w:color="A32D2D"/>
              <w:left w:val="single" w:sz="4" w:space="0" w:color="A32D2D"/>
              <w:bottom w:val="single" w:sz="4" w:space="0" w:color="A32D2D"/>
              <w:right w:val="single" w:sz="4" w:space="0" w:color="A32D2D"/>
            </w:tcBorders>
          </w:tcPr>
          <w:p w14:paraId="5606B71B" w14:textId="77777777" w:rsidR="00E13BBF" w:rsidRDefault="00E13BBF">
            <w:pPr>
              <w:spacing w:after="0"/>
            </w:pPr>
          </w:p>
          <w:p w14:paraId="5AAB5AF4" w14:textId="77777777" w:rsidR="00E13BBF" w:rsidRDefault="00000000">
            <w:pPr>
              <w:spacing w:after="60"/>
              <w:ind w:left="144"/>
            </w:pPr>
            <w:r>
              <w:rPr>
                <w:rFonts w:ascii="Calibri" w:hAnsi="Calibri"/>
                <w:b/>
                <w:color w:val="A32D2D"/>
                <w:sz w:val="20"/>
              </w:rPr>
              <w:t xml:space="preserve">▸ </w:t>
            </w:r>
            <w:r>
              <w:rPr>
                <w:rFonts w:ascii="Calibri" w:hAnsi="Calibri"/>
                <w:color w:val="374151"/>
                <w:sz w:val="18"/>
              </w:rPr>
              <w:t>★ HomeFront platform fragility. Same Dec 2025 unrest concerns.</w:t>
            </w:r>
          </w:p>
          <w:p w14:paraId="7ACD1BCD" w14:textId="77777777" w:rsidR="00E13BBF" w:rsidRDefault="00000000">
            <w:pPr>
              <w:spacing w:after="60"/>
              <w:ind w:left="144"/>
            </w:pPr>
            <w:r>
              <w:rPr>
                <w:rFonts w:ascii="Calibri" w:hAnsi="Calibri"/>
                <w:b/>
                <w:color w:val="A32D2D"/>
                <w:sz w:val="20"/>
              </w:rPr>
              <w:t xml:space="preserve">▸ </w:t>
            </w:r>
            <w:r>
              <w:rPr>
                <w:rFonts w:ascii="Calibri" w:hAnsi="Calibri"/>
                <w:color w:val="374151"/>
                <w:sz w:val="18"/>
              </w:rPr>
              <w:t>B2B sales motion ≠ rest of Track 2. Different positioning required.</w:t>
            </w:r>
          </w:p>
          <w:p w14:paraId="29B08D85" w14:textId="77777777" w:rsidR="00E13BBF" w:rsidRDefault="00000000">
            <w:pPr>
              <w:spacing w:after="60"/>
              <w:ind w:left="144"/>
            </w:pPr>
            <w:r>
              <w:rPr>
                <w:rFonts w:ascii="Calibri" w:hAnsi="Calibri"/>
                <w:b/>
                <w:color w:val="A32D2D"/>
                <w:sz w:val="20"/>
              </w:rPr>
              <w:t xml:space="preserve">▸ </w:t>
            </w:r>
            <w:r>
              <w:rPr>
                <w:rFonts w:ascii="Calibri" w:hAnsi="Calibri"/>
                <w:color w:val="374151"/>
                <w:sz w:val="18"/>
              </w:rPr>
              <w:t>Account-based selling. Long cycle, multi-touch.</w:t>
            </w:r>
          </w:p>
          <w:p w14:paraId="7531FF81" w14:textId="77777777" w:rsidR="00E13BBF" w:rsidRDefault="00000000">
            <w:pPr>
              <w:spacing w:after="60"/>
              <w:ind w:left="144"/>
            </w:pPr>
            <w:r>
              <w:rPr>
                <w:rFonts w:ascii="Calibri" w:hAnsi="Calibri"/>
                <w:b/>
                <w:color w:val="A32D2D"/>
                <w:sz w:val="20"/>
              </w:rPr>
              <w:t xml:space="preserve">▸ </w:t>
            </w:r>
            <w:r>
              <w:rPr>
                <w:rFonts w:ascii="Calibri" w:hAnsi="Calibri"/>
                <w:color w:val="374151"/>
                <w:sz w:val="18"/>
              </w:rPr>
              <w:t>Specialty workflow needs. Warehouse inventory, delivery, rental tracking.</w:t>
            </w:r>
          </w:p>
          <w:p w14:paraId="1A23F00D" w14:textId="77777777" w:rsidR="00E13BBF" w:rsidRDefault="00000000">
            <w:pPr>
              <w:spacing w:after="60"/>
              <w:ind w:left="144"/>
            </w:pPr>
            <w:r>
              <w:rPr>
                <w:rFonts w:ascii="Calibri" w:hAnsi="Calibri"/>
                <w:b/>
                <w:color w:val="A32D2D"/>
                <w:sz w:val="20"/>
              </w:rPr>
              <w:t xml:space="preserve">▸ </w:t>
            </w:r>
            <w:r>
              <w:rPr>
                <w:rFonts w:ascii="Calibri" w:hAnsi="Calibri"/>
                <w:color w:val="374151"/>
                <w:sz w:val="18"/>
              </w:rPr>
              <w:t>Construction industry SaaS. Procore, Autodesk Construction Cloud target this space.</w:t>
            </w:r>
          </w:p>
        </w:tc>
      </w:tr>
    </w:tbl>
    <w:p w14:paraId="3C779CEC" w14:textId="77777777" w:rsidR="00E13BBF" w:rsidRDefault="00E13BBF">
      <w:pPr>
        <w:spacing w:after="80"/>
      </w:pPr>
    </w:p>
    <w:p w14:paraId="53CBD63C" w14:textId="77777777" w:rsidR="00E13BBF"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E13BBF" w14:paraId="7A637F06"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4DE6A718" w14:textId="77777777" w:rsidR="00E13BBF"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24A521C1" w14:textId="77777777" w:rsidR="00E13BBF"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6E0CC160" w14:textId="77777777" w:rsidR="00E13BBF" w:rsidRDefault="00000000">
            <w:pPr>
              <w:spacing w:after="0"/>
            </w:pPr>
            <w:r>
              <w:rPr>
                <w:rFonts w:ascii="Calibri" w:hAnsi="Calibri"/>
                <w:b/>
                <w:color w:val="FFFFFF"/>
                <w:sz w:val="18"/>
              </w:rPr>
              <w:t>PATH</w:t>
            </w:r>
          </w:p>
        </w:tc>
      </w:tr>
      <w:tr w:rsidR="00E13BBF" w14:paraId="7375B66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60D12D2" w14:textId="77777777" w:rsidR="00E13BBF" w:rsidRDefault="00000000">
            <w:pPr>
              <w:spacing w:after="0"/>
            </w:pPr>
            <w:r>
              <w:rPr>
                <w:rFonts w:ascii="Calibri" w:hAnsi="Calibri"/>
                <w:b/>
                <w:color w:val="1A2B3C"/>
                <w:sz w:val="18"/>
              </w:rPr>
              <w:t>TWS Brand President</w:t>
            </w:r>
          </w:p>
          <w:p w14:paraId="4E97F60D" w14:textId="77777777" w:rsidR="00E13BBF" w:rsidRDefault="00000000">
            <w:pPr>
              <w:spacing w:after="0"/>
            </w:pPr>
            <w:r>
              <w:rPr>
                <w:rFonts w:ascii="Calibri" w:hAnsi="Calibri"/>
                <w:color w:val="6B7280"/>
                <w:sz w:val="16"/>
              </w:rPr>
              <w:t>TBV — research task</w:t>
            </w:r>
          </w:p>
        </w:tc>
        <w:tc>
          <w:tcPr>
            <w:tcW w:w="5040" w:type="dxa"/>
            <w:tcBorders>
              <w:top w:val="single" w:sz="4" w:space="0" w:color="CCCCCC"/>
              <w:left w:val="single" w:sz="4" w:space="0" w:color="CCCCCC"/>
              <w:bottom w:val="single" w:sz="4" w:space="0" w:color="CCCCCC"/>
              <w:right w:val="single" w:sz="4" w:space="0" w:color="CCCCCC"/>
            </w:tcBorders>
          </w:tcPr>
          <w:p w14:paraId="36C742EA" w14:textId="77777777" w:rsidR="00E13BBF" w:rsidRDefault="00000000">
            <w:pPr>
              <w:spacing w:after="0"/>
            </w:pPr>
            <w:r>
              <w:rPr>
                <w:rFonts w:ascii="Calibri" w:hAnsi="Calibri"/>
                <w:color w:val="374151"/>
                <w:sz w:val="18"/>
              </w:rPr>
              <w:t>Brand-level decision-maker.</w:t>
            </w:r>
          </w:p>
        </w:tc>
        <w:tc>
          <w:tcPr>
            <w:tcW w:w="2160" w:type="dxa"/>
            <w:tcBorders>
              <w:top w:val="single" w:sz="4" w:space="0" w:color="CCCCCC"/>
              <w:left w:val="single" w:sz="4" w:space="0" w:color="CCCCCC"/>
              <w:bottom w:val="single" w:sz="4" w:space="0" w:color="CCCCCC"/>
              <w:right w:val="single" w:sz="4" w:space="0" w:color="CCCCCC"/>
            </w:tcBorders>
          </w:tcPr>
          <w:p w14:paraId="155EDDF5" w14:textId="77777777" w:rsidR="00E13BBF" w:rsidRDefault="00000000">
            <w:pPr>
              <w:spacing w:after="0"/>
            </w:pPr>
            <w:r>
              <w:rPr>
                <w:rFonts w:ascii="Calibri" w:hAnsi="Calibri"/>
                <w:b/>
                <w:color w:val="C25E1A"/>
                <w:sz w:val="18"/>
              </w:rPr>
              <w:t>Research task</w:t>
            </w:r>
          </w:p>
        </w:tc>
      </w:tr>
      <w:tr w:rsidR="00E13BBF" w14:paraId="749BF36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5E36251" w14:textId="77777777" w:rsidR="00E13BBF" w:rsidRDefault="00000000">
            <w:pPr>
              <w:spacing w:after="0"/>
            </w:pPr>
            <w:r>
              <w:rPr>
                <w:rFonts w:ascii="Calibri" w:hAnsi="Calibri"/>
                <w:b/>
                <w:color w:val="1A2B3C"/>
                <w:sz w:val="18"/>
              </w:rPr>
              <w:t>Jeff Dudan</w:t>
            </w:r>
          </w:p>
          <w:p w14:paraId="7F3F6941" w14:textId="77777777" w:rsidR="00E13BBF" w:rsidRDefault="00000000">
            <w:pPr>
              <w:spacing w:after="0"/>
            </w:pPr>
            <w:r>
              <w:rPr>
                <w:rFonts w:ascii="Calibri" w:hAnsi="Calibri"/>
                <w:color w:val="6B7280"/>
                <w:sz w:val="16"/>
              </w:rPr>
              <w:t>CEO/Chairman · HomeFront</w:t>
            </w:r>
          </w:p>
        </w:tc>
        <w:tc>
          <w:tcPr>
            <w:tcW w:w="5040" w:type="dxa"/>
            <w:tcBorders>
              <w:top w:val="single" w:sz="4" w:space="0" w:color="CCCCCC"/>
              <w:left w:val="single" w:sz="4" w:space="0" w:color="CCCCCC"/>
              <w:bottom w:val="single" w:sz="4" w:space="0" w:color="CCCCCC"/>
              <w:right w:val="single" w:sz="4" w:space="0" w:color="CCCCCC"/>
            </w:tcBorders>
          </w:tcPr>
          <w:p w14:paraId="3EB5ECC8" w14:textId="77777777" w:rsidR="00E13BBF" w:rsidRDefault="00000000">
            <w:pPr>
              <w:spacing w:after="0"/>
            </w:pPr>
            <w:r>
              <w:rPr>
                <w:rFonts w:ascii="Calibri" w:hAnsi="Calibri"/>
                <w:color w:val="374151"/>
                <w:sz w:val="18"/>
              </w:rPr>
              <w:t>Content-first.</w:t>
            </w:r>
          </w:p>
        </w:tc>
        <w:tc>
          <w:tcPr>
            <w:tcW w:w="2160" w:type="dxa"/>
            <w:tcBorders>
              <w:top w:val="single" w:sz="4" w:space="0" w:color="CCCCCC"/>
              <w:left w:val="single" w:sz="4" w:space="0" w:color="CCCCCC"/>
              <w:bottom w:val="single" w:sz="4" w:space="0" w:color="CCCCCC"/>
              <w:right w:val="single" w:sz="4" w:space="0" w:color="CCCCCC"/>
            </w:tcBorders>
          </w:tcPr>
          <w:p w14:paraId="64498C65" w14:textId="77777777" w:rsidR="00E13BBF" w:rsidRDefault="00000000">
            <w:pPr>
              <w:spacing w:after="0"/>
            </w:pPr>
            <w:r>
              <w:rPr>
                <w:rFonts w:ascii="Calibri" w:hAnsi="Calibri"/>
                <w:b/>
                <w:color w:val="2D6A4F"/>
                <w:sz w:val="18"/>
              </w:rPr>
              <w:t>★ Content-first</w:t>
            </w:r>
          </w:p>
        </w:tc>
      </w:tr>
      <w:tr w:rsidR="00E13BBF" w14:paraId="03CB6E8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DD69CA7" w14:textId="77777777" w:rsidR="00E13BBF" w:rsidRDefault="00000000">
            <w:pPr>
              <w:spacing w:after="0"/>
            </w:pPr>
            <w:r>
              <w:rPr>
                <w:rFonts w:ascii="Calibri" w:hAnsi="Calibri"/>
                <w:b/>
                <w:color w:val="1A2B3C"/>
                <w:sz w:val="18"/>
              </w:rPr>
              <w:t>Zack Dudan</w:t>
            </w:r>
          </w:p>
          <w:p w14:paraId="4D44767A" w14:textId="77777777" w:rsidR="00E13BBF" w:rsidRDefault="00000000">
            <w:pPr>
              <w:spacing w:after="0"/>
            </w:pPr>
            <w:r>
              <w:rPr>
                <w:rFonts w:ascii="Calibri" w:hAnsi="Calibri"/>
                <w:color w:val="6B7280"/>
                <w:sz w:val="16"/>
              </w:rPr>
              <w:t>CGO · HomeFront</w:t>
            </w:r>
          </w:p>
        </w:tc>
        <w:tc>
          <w:tcPr>
            <w:tcW w:w="5040" w:type="dxa"/>
            <w:tcBorders>
              <w:top w:val="single" w:sz="4" w:space="0" w:color="CCCCCC"/>
              <w:left w:val="single" w:sz="4" w:space="0" w:color="CCCCCC"/>
              <w:bottom w:val="single" w:sz="4" w:space="0" w:color="CCCCCC"/>
              <w:right w:val="single" w:sz="4" w:space="0" w:color="CCCCCC"/>
            </w:tcBorders>
          </w:tcPr>
          <w:p w14:paraId="56820EEB" w14:textId="77777777" w:rsidR="00E13BBF" w:rsidRDefault="00000000">
            <w:pPr>
              <w:spacing w:after="0"/>
            </w:pPr>
            <w:r>
              <w:rPr>
                <w:rFonts w:ascii="Calibri" w:hAnsi="Calibri"/>
                <w:color w:val="374151"/>
                <w:sz w:val="18"/>
              </w:rPr>
              <w:t>Operational entry.</w:t>
            </w:r>
          </w:p>
        </w:tc>
        <w:tc>
          <w:tcPr>
            <w:tcW w:w="2160" w:type="dxa"/>
            <w:tcBorders>
              <w:top w:val="single" w:sz="4" w:space="0" w:color="CCCCCC"/>
              <w:left w:val="single" w:sz="4" w:space="0" w:color="CCCCCC"/>
              <w:bottom w:val="single" w:sz="4" w:space="0" w:color="CCCCCC"/>
              <w:right w:val="single" w:sz="4" w:space="0" w:color="CCCCCC"/>
            </w:tcBorders>
          </w:tcPr>
          <w:p w14:paraId="56833D17" w14:textId="77777777" w:rsidR="00E13BBF" w:rsidRDefault="00000000">
            <w:pPr>
              <w:spacing w:after="0"/>
            </w:pPr>
            <w:r>
              <w:rPr>
                <w:rFonts w:ascii="Calibri" w:hAnsi="Calibri"/>
                <w:b/>
                <w:color w:val="2D6A4F"/>
                <w:sz w:val="18"/>
              </w:rPr>
              <w:t>★ CGO path</w:t>
            </w:r>
          </w:p>
        </w:tc>
      </w:tr>
      <w:tr w:rsidR="00E13BBF" w14:paraId="7936E99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E5BFC59" w14:textId="77777777" w:rsidR="00E13BBF" w:rsidRDefault="00000000">
            <w:pPr>
              <w:spacing w:after="0"/>
            </w:pPr>
            <w:r>
              <w:rPr>
                <w:rFonts w:ascii="Calibri" w:hAnsi="Calibri"/>
                <w:b/>
                <w:color w:val="1A2B3C"/>
                <w:sz w:val="18"/>
              </w:rPr>
              <w:t>Brendan Mahoney</w:t>
            </w:r>
          </w:p>
          <w:p w14:paraId="19ECAADE" w14:textId="77777777" w:rsidR="00E13BBF" w:rsidRDefault="00000000">
            <w:pPr>
              <w:spacing w:after="0"/>
            </w:pPr>
            <w:r>
              <w:rPr>
                <w:rFonts w:ascii="Calibri" w:hAnsi="Calibri"/>
                <w:color w:val="6B7280"/>
                <w:sz w:val="16"/>
              </w:rPr>
              <w:t>2024 Rookie of the Year · TWS Puget Sound</w:t>
            </w:r>
          </w:p>
        </w:tc>
        <w:tc>
          <w:tcPr>
            <w:tcW w:w="5040" w:type="dxa"/>
            <w:tcBorders>
              <w:top w:val="single" w:sz="4" w:space="0" w:color="CCCCCC"/>
              <w:left w:val="single" w:sz="4" w:space="0" w:color="CCCCCC"/>
              <w:bottom w:val="single" w:sz="4" w:space="0" w:color="CCCCCC"/>
              <w:right w:val="single" w:sz="4" w:space="0" w:color="CCCCCC"/>
            </w:tcBorders>
          </w:tcPr>
          <w:p w14:paraId="2763B388" w14:textId="77777777" w:rsidR="00E13BBF" w:rsidRDefault="00000000">
            <w:pPr>
              <w:spacing w:after="0"/>
            </w:pPr>
            <w:r>
              <w:rPr>
                <w:rFonts w:ascii="Calibri" w:hAnsi="Calibri"/>
                <w:color w:val="374151"/>
                <w:sz w:val="18"/>
              </w:rPr>
              <w:t>Voice-of-customer reference.</w:t>
            </w:r>
          </w:p>
        </w:tc>
        <w:tc>
          <w:tcPr>
            <w:tcW w:w="2160" w:type="dxa"/>
            <w:tcBorders>
              <w:top w:val="single" w:sz="4" w:space="0" w:color="CCCCCC"/>
              <w:left w:val="single" w:sz="4" w:space="0" w:color="CCCCCC"/>
              <w:bottom w:val="single" w:sz="4" w:space="0" w:color="CCCCCC"/>
              <w:right w:val="single" w:sz="4" w:space="0" w:color="CCCCCC"/>
            </w:tcBorders>
          </w:tcPr>
          <w:p w14:paraId="36EB3AAE" w14:textId="77777777" w:rsidR="00E13BBF" w:rsidRDefault="00000000">
            <w:pPr>
              <w:spacing w:after="0"/>
            </w:pPr>
            <w:r>
              <w:rPr>
                <w:rFonts w:ascii="Calibri" w:hAnsi="Calibri"/>
                <w:b/>
                <w:color w:val="C25E1A"/>
                <w:sz w:val="18"/>
              </w:rPr>
              <w:t>Field outreach</w:t>
            </w:r>
          </w:p>
        </w:tc>
      </w:tr>
    </w:tbl>
    <w:p w14:paraId="4AAD4C62" w14:textId="77777777" w:rsidR="00E13BBF" w:rsidRDefault="00E13BBF">
      <w:pPr>
        <w:spacing w:after="80"/>
      </w:pPr>
    </w:p>
    <w:p w14:paraId="75581A59" w14:textId="77777777" w:rsidR="00E13BBF" w:rsidRDefault="00000000">
      <w:pPr>
        <w:spacing w:before="160" w:after="80"/>
      </w:pPr>
      <w:r>
        <w:rPr>
          <w:rFonts w:ascii="Calibri" w:hAnsi="Calibri"/>
          <w:b/>
          <w:color w:val="1A2B3C"/>
          <w:sz w:val="26"/>
        </w:rPr>
        <w:t>EVENTS TO ENGAGE</w:t>
      </w:r>
    </w:p>
    <w:p w14:paraId="4FF7C4DD" w14:textId="77777777" w:rsidR="00E13BBF" w:rsidRDefault="00000000">
      <w:pPr>
        <w:spacing w:after="40"/>
        <w:ind w:left="144"/>
      </w:pPr>
      <w:r>
        <w:rPr>
          <w:rFonts w:ascii="Calibri" w:hAnsi="Calibri"/>
          <w:b/>
          <w:color w:val="185FA5"/>
          <w:sz w:val="18"/>
        </w:rPr>
        <w:t xml:space="preserve">Nov (annual)  ·  </w:t>
      </w:r>
      <w:r>
        <w:rPr>
          <w:rFonts w:ascii="Calibri" w:hAnsi="Calibri"/>
          <w:b/>
          <w:color w:val="1A2B3C"/>
          <w:sz w:val="20"/>
        </w:rPr>
        <w:t>HomeComing Convention</w:t>
      </w:r>
    </w:p>
    <w:p w14:paraId="6F4827C7" w14:textId="77777777" w:rsidR="00E13BBF" w:rsidRDefault="00000000">
      <w:pPr>
        <w:spacing w:after="80"/>
        <w:ind w:left="576"/>
      </w:pPr>
      <w:r>
        <w:rPr>
          <w:rFonts w:ascii="Calibri" w:hAnsi="Calibri"/>
          <w:color w:val="374151"/>
          <w:sz w:val="18"/>
        </w:rPr>
        <w:t>HomeFront flagship.</w:t>
      </w:r>
    </w:p>
    <w:p w14:paraId="3E2AE0CC" w14:textId="77777777" w:rsidR="00E13BBF" w:rsidRDefault="00000000">
      <w:pPr>
        <w:spacing w:after="40"/>
        <w:ind w:left="144"/>
      </w:pPr>
      <w:r>
        <w:rPr>
          <w:rFonts w:ascii="Calibri" w:hAnsi="Calibri"/>
          <w:b/>
          <w:color w:val="185FA5"/>
          <w:sz w:val="18"/>
        </w:rPr>
        <w:t xml:space="preserve">Annual  ·  </w:t>
      </w:r>
      <w:r>
        <w:rPr>
          <w:rFonts w:ascii="Calibri" w:hAnsi="Calibri"/>
          <w:b/>
          <w:color w:val="1A2B3C"/>
          <w:sz w:val="20"/>
        </w:rPr>
        <w:t>ASHE Conference</w:t>
      </w:r>
    </w:p>
    <w:p w14:paraId="0DFED458" w14:textId="77777777" w:rsidR="00E13BBF" w:rsidRDefault="00000000">
      <w:pPr>
        <w:spacing w:after="80"/>
        <w:ind w:left="576"/>
      </w:pPr>
      <w:r>
        <w:rPr>
          <w:rFonts w:ascii="Calibri" w:hAnsi="Calibri"/>
          <w:color w:val="374151"/>
          <w:sz w:val="18"/>
        </w:rPr>
        <w:t>American Society for Healthcare Engineering — hospital construction.</w:t>
      </w:r>
    </w:p>
    <w:p w14:paraId="0424EC78" w14:textId="77777777" w:rsidR="00E13BBF" w:rsidRDefault="00000000">
      <w:pPr>
        <w:spacing w:after="40"/>
        <w:ind w:left="144"/>
      </w:pPr>
      <w:r>
        <w:rPr>
          <w:rFonts w:ascii="Calibri" w:hAnsi="Calibri"/>
          <w:b/>
          <w:color w:val="185FA5"/>
          <w:sz w:val="18"/>
        </w:rPr>
        <w:t xml:space="preserve">Annual  ·  </w:t>
      </w:r>
      <w:r>
        <w:rPr>
          <w:rFonts w:ascii="Calibri" w:hAnsi="Calibri"/>
          <w:b/>
          <w:color w:val="1A2B3C"/>
          <w:sz w:val="20"/>
        </w:rPr>
        <w:t>AGC Convention</w:t>
      </w:r>
    </w:p>
    <w:p w14:paraId="1790696D" w14:textId="77777777" w:rsidR="00E13BBF" w:rsidRDefault="00000000">
      <w:pPr>
        <w:spacing w:after="80"/>
        <w:ind w:left="576"/>
      </w:pPr>
      <w:r>
        <w:rPr>
          <w:rFonts w:ascii="Calibri" w:hAnsi="Calibri"/>
          <w:color w:val="374151"/>
          <w:sz w:val="18"/>
        </w:rPr>
        <w:t>Associated General Contractors.</w:t>
      </w:r>
    </w:p>
    <w:p w14:paraId="1A29260F" w14:textId="77777777" w:rsidR="00E13BBF" w:rsidRDefault="00000000">
      <w:pPr>
        <w:spacing w:before="160" w:after="80"/>
      </w:pPr>
      <w:r>
        <w:rPr>
          <w:rFonts w:ascii="Calibri" w:hAnsi="Calibri"/>
          <w:b/>
          <w:color w:val="6B7280"/>
        </w:rPr>
        <w:t>HOW WE SCORED THIS</w:t>
      </w:r>
    </w:p>
    <w:p w14:paraId="37A5CE6A" w14:textId="77777777" w:rsidR="00E13BBF" w:rsidRDefault="00000000">
      <w:pPr>
        <w:spacing w:after="120" w:line="300" w:lineRule="auto"/>
      </w:pPr>
      <w:r>
        <w:rPr>
          <w:rFonts w:ascii="Calibri" w:hAnsi="Calibri"/>
          <w:i/>
          <w:color w:val="374151"/>
          <w:sz w:val="20"/>
        </w:rPr>
        <w:t>Score 48 (T5 NorthStar) per Track 2 v2 matrix. ENGAGEABLE PER BURDEN-OF-PROOF RULE, but CAUTION FLAG for fit profile mismatch with rest of Track 2 (100% B2B commercial vs. residential service brands). Drivers: largest in category, B2B recurring rental revenue, commercial construction tailwind. Reduced by HomeFront platform fragility, B2B sales motion difference, account-based selling complexity, construction SaaS competition. Recommended position: parallel separate engagement track after Window Hero proves out. HomeFront parent +12 bonus (MONITOR-MODE).</w:t>
      </w:r>
    </w:p>
    <w:p w14:paraId="6EEC7E7D" w14:textId="77777777" w:rsidR="00E13BBF"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E13BBF" w14:paraId="3480797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1BD7448" w14:textId="77777777" w:rsidR="00E13BBF"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5C228CCD" w14:textId="77777777" w:rsidR="00E13BBF" w:rsidRDefault="00000000">
            <w:pPr>
              <w:spacing w:after="0"/>
            </w:pPr>
            <w:r>
              <w:rPr>
                <w:rFonts w:ascii="Calibri" w:hAnsi="Calibri"/>
                <w:color w:val="374151"/>
                <w:sz w:val="18"/>
              </w:rPr>
              <w:t>Mike Flynt · Velocity GTM Co LLC</w:t>
            </w:r>
          </w:p>
        </w:tc>
      </w:tr>
      <w:tr w:rsidR="00E13BBF" w14:paraId="08A98DD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FC12878" w14:textId="77777777" w:rsidR="00E13BBF"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703A53B1" w14:textId="77777777" w:rsidR="00E13BBF" w:rsidRDefault="00000000">
            <w:pPr>
              <w:spacing w:after="0"/>
            </w:pPr>
            <w:r>
              <w:rPr>
                <w:rFonts w:ascii="Calibri" w:hAnsi="Calibri"/>
                <w:color w:val="374151"/>
                <w:sz w:val="18"/>
              </w:rPr>
              <w:t>Andrea Rowan (GM ServiceBridge), Charles Layne (CEO), Garrett Else (CFO)</w:t>
            </w:r>
          </w:p>
        </w:tc>
      </w:tr>
      <w:tr w:rsidR="00E13BBF" w14:paraId="2B44E15A"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BB2163D" w14:textId="77777777" w:rsidR="00E13BBF"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2A0C0C69" w14:textId="77777777" w:rsidR="00E13BBF" w:rsidRDefault="00000000">
            <w:pPr>
              <w:spacing w:after="0"/>
            </w:pPr>
            <w:r>
              <w:rPr>
                <w:rFonts w:ascii="Calibri" w:hAnsi="Calibri"/>
                <w:color w:val="374151"/>
                <w:sz w:val="18"/>
              </w:rPr>
              <w:t>Track 2 P1+P2 Brand Priority Matrix v2 · CRM v15.6 · HomeFront Brands parent context</w:t>
            </w:r>
          </w:p>
        </w:tc>
      </w:tr>
      <w:tr w:rsidR="00E13BBF" w14:paraId="7219488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C85FEEF" w14:textId="77777777" w:rsidR="00E13BBF"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0B91C402" w14:textId="77777777" w:rsidR="00E13BBF" w:rsidRDefault="00000000">
            <w:pPr>
              <w:spacing w:after="0"/>
            </w:pPr>
            <w:r>
              <w:rPr>
                <w:rFonts w:ascii="Calibri" w:hAnsi="Calibri"/>
                <w:color w:val="374151"/>
                <w:sz w:val="18"/>
              </w:rPr>
              <w:t>v1.0 · May 1, 2026 · ServiceBridge GTM Engagement</w:t>
            </w:r>
          </w:p>
        </w:tc>
      </w:tr>
    </w:tbl>
    <w:p w14:paraId="4EFF7D84" w14:textId="77777777" w:rsidR="00F9594D" w:rsidRDefault="00F9594D"/>
    <w:sectPr w:rsidR="00F9594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671684">
    <w:abstractNumId w:val="8"/>
  </w:num>
  <w:num w:numId="2" w16cid:durableId="747458732">
    <w:abstractNumId w:val="6"/>
  </w:num>
  <w:num w:numId="3" w16cid:durableId="405692270">
    <w:abstractNumId w:val="5"/>
  </w:num>
  <w:num w:numId="4" w16cid:durableId="511913094">
    <w:abstractNumId w:val="4"/>
  </w:num>
  <w:num w:numId="5" w16cid:durableId="315646459">
    <w:abstractNumId w:val="7"/>
  </w:num>
  <w:num w:numId="6" w16cid:durableId="2091348806">
    <w:abstractNumId w:val="3"/>
  </w:num>
  <w:num w:numId="7" w16cid:durableId="1117217585">
    <w:abstractNumId w:val="2"/>
  </w:num>
  <w:num w:numId="8" w16cid:durableId="951280697">
    <w:abstractNumId w:val="1"/>
  </w:num>
  <w:num w:numId="9" w16cid:durableId="172602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69F7"/>
    <w:rsid w:val="00AA1D8D"/>
    <w:rsid w:val="00B47730"/>
    <w:rsid w:val="00CB0664"/>
    <w:rsid w:val="00D62C33"/>
    <w:rsid w:val="00E13BBF"/>
    <w:rsid w:val="00F95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C9CFE"/>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2026-05-01T19:13:00Z</dcterms:created>
  <dcterms:modified xsi:type="dcterms:W3CDTF">2026-05-01T19:13:00Z</dcterms:modified>
  <cp:category/>
</cp:coreProperties>
</file>