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Arial" w:cs="Arial" w:eastAsia="Arial" w:hAnsi="Arial"/>
          <w:b/>
          <w:bCs/>
          <w:color w:val="1A2B3C"/>
          <w:sz w:val="44"/>
          <w:szCs w:val="44"/>
        </w:rPr>
        <w:t xml:space="preserve">HOMEFRONT BRANDS</w:t>
      </w:r>
    </w:p>
    <w:p>
      <w:pPr>
        <w:spacing w:after="60" w:before="0"/>
        <w:jc w:val="center"/>
      </w:pPr>
      <w:r>
        <w:rPr>
          <w:rFonts w:ascii="Arial" w:cs="Arial" w:eastAsia="Arial" w:hAnsi="Arial"/>
          <w:b/>
          <w:bCs/>
          <w:color w:val="185FA5"/>
          <w:sz w:val="28"/>
          <w:szCs w:val="28"/>
        </w:rPr>
        <w:t xml:space="preserve">GTM Engagement Readiness</w:t>
      </w:r>
    </w:p>
    <w:p>
      <w:pPr>
        <w:spacing w:after="60" w:before="0"/>
        <w:jc w:val="center"/>
      </w:pPr>
      <w:r>
        <w:rPr>
          <w:rFonts w:ascii="Arial" w:cs="Arial" w:eastAsia="Arial" w:hAnsi="Arial"/>
          <w:b/>
          <w:bCs/>
          <w:color w:val="A32D2D"/>
          <w:sz w:val="22"/>
          <w:szCs w:val="22"/>
        </w:rPr>
        <w:t xml:space="preserve">Rank #7 · MONITOR-MODE · Score 44.0</w:t>
      </w:r>
    </w:p>
    <w:p>
      <w:pPr>
        <w:spacing w:after="240" w:before="0"/>
        <w:jc w:val="center"/>
      </w:pPr>
      <w:r>
        <w:rPr>
          <w:rFonts w:ascii="Arial" w:cs="Arial" w:eastAsia="Arial" w:hAnsi="Arial"/>
          <w:i/>
          <w:iCs/>
          <w:color w:val="888780"/>
          <w:sz w:val="20"/>
          <w:szCs w:val="20"/>
        </w:rPr>
        <w:t xml:space="preserve">Franchisee turmoil signals · family office ownership · monitor Q3/Q4 2026</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My read on this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CEBEB"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HomeFront Brands sits at rank #7</w:t>
            </w:r>
          </w:p>
          <w:p>
            <w:r>
              <w:rPr>
                <w:rFonts w:ascii="Arial" w:cs="Arial" w:eastAsia="Arial" w:hAnsi="Arial"/>
                <w:sz w:val="22"/>
                <w:szCs w:val="22"/>
              </w:rPr>
              <w:t xml:space="preserve">HomeFront Brands came in at #7 with a score of 48.5, the lowest in our P1 set. Jeff Dudan (Founder/CEO) and Zack Dudan (COO) run this through Dudan Group as a family office, which gives us different exit dynamics than the PE-backed targets. FSM is franchisee-choice with limited franchisor tooling. Unhappy Franchisee forum posts in December 2025 are signaling franchisee turmoil. My honest read is monitor-only for now. We keep HomeFront on the P1 list for visibility but don't actively sequence until we see Q3/Q4 2026 signals.</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Where I'd land it</w:t>
      </w:r>
    </w:p>
    <w:p>
      <w:pPr>
        <w:pStyle w:val="ListParagraph"/>
        <w:numPr>
          <w:ilvl w:val="0"/>
          <w:numId w:val="2"/>
        </w:numPr>
        <w:spacing w:after="40" w:before="40"/>
      </w:pPr>
      <w:r>
        <w:rPr>
          <w:rFonts w:ascii="Arial" w:cs="Arial" w:eastAsia="Arial" w:hAnsi="Arial"/>
          <w:sz w:val="22"/>
          <w:szCs w:val="22"/>
        </w:rPr>
        <w:t xml:space="preserve">Lowest P1 score across all dimensions we measured.</w:t>
      </w:r>
    </w:p>
    <w:p>
      <w:pPr>
        <w:pStyle w:val="ListParagraph"/>
        <w:numPr>
          <w:ilvl w:val="0"/>
          <w:numId w:val="2"/>
        </w:numPr>
        <w:spacing w:after="40" w:before="40"/>
      </w:pPr>
      <w:r>
        <w:rPr>
          <w:rFonts w:ascii="Arial" w:cs="Arial" w:eastAsia="Arial" w:hAnsi="Arial"/>
          <w:sz w:val="22"/>
          <w:szCs w:val="22"/>
        </w:rPr>
        <w:t xml:space="preserve">Family office ownership means no PE exit pressure to harness in the value creation pitch.</w:t>
      </w:r>
    </w:p>
    <w:p>
      <w:pPr>
        <w:pStyle w:val="ListParagraph"/>
        <w:numPr>
          <w:ilvl w:val="0"/>
          <w:numId w:val="2"/>
        </w:numPr>
        <w:spacing w:after="40" w:before="40"/>
      </w:pPr>
      <w:r>
        <w:rPr>
          <w:rFonts w:ascii="Arial" w:cs="Arial" w:eastAsia="Arial" w:hAnsi="Arial"/>
          <w:sz w:val="22"/>
          <w:szCs w:val="22"/>
        </w:rPr>
        <w:t xml:space="preserve">Franchisee turmoil signals from the Unhappy Franchisee forum in December 2025 are an instability flag.</w:t>
      </w:r>
    </w:p>
    <w:p>
      <w:pPr>
        <w:pStyle w:val="ListParagraph"/>
        <w:numPr>
          <w:ilvl w:val="0"/>
          <w:numId w:val="2"/>
        </w:numPr>
        <w:spacing w:after="40" w:before="40"/>
      </w:pPr>
      <w:r>
        <w:rPr>
          <w:rFonts w:ascii="Arial" w:cs="Arial" w:eastAsia="Arial" w:hAnsi="Arial"/>
          <w:sz w:val="22"/>
          <w:szCs w:val="22"/>
        </w:rPr>
        <w:t xml:space="preserve">Limited franchisor tooling means no aggregation leverage for ServiceBridge here.</w:t>
      </w:r>
    </w:p>
    <w:p>
      <w:pPr>
        <w:pStyle w:val="ListParagraph"/>
        <w:numPr>
          <w:ilvl w:val="0"/>
          <w:numId w:val="2"/>
        </w:numPr>
        <w:spacing w:after="40" w:before="40"/>
      </w:pPr>
      <w:r>
        <w:rPr>
          <w:rFonts w:ascii="Arial" w:cs="Arial" w:eastAsia="Arial" w:hAnsi="Arial"/>
          <w:sz w:val="22"/>
          <w:szCs w:val="22"/>
        </w:rPr>
        <w:t xml:space="preserve">My recommendation: monitor for Q3/Q4 2026 clarity. Don't actively engage in the current quarter.</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What we know — with sources</w:t>
      </w:r>
    </w:p>
    <w:p>
      <w:pPr>
        <w:spacing w:after="80" w:before="80"/>
      </w:pPr>
      <w:r>
        <w:rPr>
          <w:rFonts w:ascii="Arial" w:cs="Arial" w:eastAsia="Arial" w:hAnsi="Arial"/>
          <w:sz w:val="22"/>
          <w:szCs w:val="22"/>
        </w:rPr>
        <w:t xml:space="preserve">Core data points with confidence level, source, and verification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1400"/>
        <w:gridCol w:w="2000"/>
        <w:gridCol w:w="960"/>
      </w:tblGrid>
      <w:tr>
        <w:trPr>
          <w:tblHeader/>
        </w:trPr>
        <w:tc>
          <w:tcPr>
            <w:tcW w:type="dxa" w:w="2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Data Point</w:t>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Value</w:t>
            </w:r>
          </w:p>
        </w:tc>
        <w:tc>
          <w:tcPr>
            <w:tcW w:type="dxa" w:w="1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Confidence</w:t>
            </w:r>
          </w:p>
        </w:tc>
        <w:tc>
          <w:tcPr>
            <w:tcW w:type="dxa" w:w="2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Source</w:t>
            </w:r>
          </w:p>
        </w:tc>
        <w:tc>
          <w:tcPr>
            <w:tcW w:type="dxa" w:w="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Verified</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Total brands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6</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HomeFront website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Tech count</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~2,550 mid-point (range 1,900-3,300)</w:t>
            </w:r>
          </w:p>
        </w:tc>
        <w:tc>
          <w:tcPr>
            <w:tcW w:type="dxa" w:w="1400"/>
            <w:tcBorders>
              <w:top w:val="single" w:color="CCCCCC" w:sz="4"/>
              <w:left w:val="single" w:color="CCCCCC" w:sz="4"/>
              <w:bottom w:val="single" w:color="CCCCCC" w:sz="4"/>
              <w:right w:val="single" w:color="CCCCCC" w:sz="4"/>
            </w:tcBorders>
            <w:shd w:fill="E8F4F4" w:val="clear"/>
            <w:tcMar>
              <w:top w:type="dxa" w:w="80"/>
              <w:left w:type="dxa" w:w="120"/>
              <w:bottom w:type="dxa" w:w="80"/>
              <w:right w:type="dxa" w:w="120"/>
            </w:tcMar>
          </w:tcPr>
          <w:p>
            <w:pPr>
              <w:jc w:val="center"/>
            </w:pPr>
            <w:r>
              <w:rPr>
                <w:rFonts w:ascii="Arial" w:cs="Arial" w:eastAsia="Arial" w:hAnsi="Arial"/>
                <w:b/>
                <w:bCs/>
                <w:i w:val="false"/>
                <w:iCs w:val="false"/>
                <w:color w:val="0F4C5C"/>
                <w:sz w:val="18"/>
                <w:szCs w:val="18"/>
              </w:rPr>
              <w:t xml:space="preserve">🟡 INDUSTRY_VERIFIED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Vertical-calibrated from verified location counts × industry-typical techs/location</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25</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Portfolio FSM</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Franchisee-choice</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No portfolio mandate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Franchisor tooling</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Limited</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Unhappy Franchisee Dec 2025</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Founder/CEO</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Jeff Dudan</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HomeFront corporate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COO</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Zack Dudan</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HomeFront corporate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Ownership</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Dudan Group (family office)</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HomeFront corporate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Franchisee turmoil signals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HIGH</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Unhappy Franchisee forum Dec 2025</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GPO Status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Yes — Vendor Advantage Program</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HomeFront Brands website, Vendor Advantage Program</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Consumer/Commercial mix</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Consumer 50%</w:t>
            </w:r>
          </w:p>
        </w:tc>
        <w:tc>
          <w:tcPr>
            <w:tcW w:type="dxa" w:w="1400"/>
            <w:tcBorders>
              <w:top w:val="single" w:color="CCCCCC" w:sz="4"/>
              <w:left w:val="single" w:color="CCCCCC" w:sz="4"/>
              <w:bottom w:val="single" w:color="CCCCCC" w:sz="4"/>
              <w:right w:val="single" w:color="CCCCCC" w:sz="4"/>
            </w:tcBorders>
            <w:shd w:fill="E8F4F4" w:val="clear"/>
            <w:tcMar>
              <w:top w:type="dxa" w:w="80"/>
              <w:left w:type="dxa" w:w="120"/>
              <w:bottom w:type="dxa" w:w="80"/>
              <w:right w:type="dxa" w:w="120"/>
            </w:tcMar>
          </w:tcPr>
          <w:p>
            <w:pPr>
              <w:jc w:val="center"/>
            </w:pPr>
            <w:r>
              <w:rPr>
                <w:rFonts w:ascii="Arial" w:cs="Arial" w:eastAsia="Arial" w:hAnsi="Arial"/>
                <w:b/>
                <w:bCs/>
                <w:i w:val="false"/>
                <w:iCs w:val="false"/>
                <w:color w:val="0F4C5C"/>
                <w:sz w:val="18"/>
                <w:szCs w:val="18"/>
              </w:rPr>
              <w:t xml:space="preserve">🟡 INDUSTRY_VERIFIED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Brand portfolio analysis — Temporary Wall Systems is B2B, others mixed</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Existing Telematics Solution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TBD — GPSI sales team to validate</w:t>
            </w:r>
          </w:p>
        </w:tc>
        <w:tc>
          <w:tcPr>
            <w:tcW w:type="dxa" w:w="1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55555"/>
                <w:sz w:val="18"/>
                <w:szCs w:val="18"/>
              </w:rPr>
              <w:t xml:space="preserve">⚪ ESTIMATED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GPS Insight customer database — pending sales team review</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PE exit math &amp; ROI — what we bring to the franchisor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AF3DE"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matters to PE in one sentence</w:t>
            </w:r>
          </w:p>
          <w:p>
            <w:r>
              <w:rPr>
                <w:rFonts w:ascii="Arial" w:cs="Arial" w:eastAsia="Arial" w:hAnsi="Arial"/>
                <w:sz w:val="22"/>
                <w:szCs w:val="22"/>
              </w:rPr>
              <w:t xml:space="preserve">Every $1 of franchisee-level EBITDA improvement converts to $10–14 of enterprise value at PE exit. A franchisor-funded FSM platform that costs $0.25 per $1 of EBITDA added delivers 40–50x ROI on invested capital over a typical hold period.</w:t>
            </w:r>
          </w:p>
        </w:tc>
      </w:tr>
    </w:tbl>
    <w:p>
      <w:pPr>
        <w:pStyle w:val="Heading2"/>
        <w:spacing w:after="140" w:before="280"/>
      </w:pPr>
      <w:r>
        <w:rPr>
          <w:rFonts w:ascii="Arial" w:cs="Arial" w:eastAsia="Arial" w:hAnsi="Arial"/>
          <w:b/>
          <w:bCs/>
          <w:color w:val="185FA5"/>
          <w:sz w:val="26"/>
          <w:szCs w:val="26"/>
        </w:rPr>
        <w:t xml:space="preserve">The exit multiple math</w:t>
      </w:r>
    </w:p>
    <w:p>
      <w:pPr>
        <w:spacing w:after="80" w:before="80"/>
      </w:pPr>
      <w:r>
        <w:rPr>
          <w:rFonts w:ascii="Arial" w:cs="Arial" w:eastAsia="Arial" w:hAnsi="Arial"/>
          <w:sz w:val="22"/>
          <w:szCs w:val="22"/>
        </w:rPr>
        <w:t xml:space="preserve">Home services franchisor exits consistently price at tech-enabled multiples: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Exit Category</w:t>
            </w:r>
          </w:p>
        </w:tc>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EBITDA Multiple Range</w:t>
            </w:r>
          </w:p>
        </w:tc>
        <w:tc>
          <w:tcPr>
            <w:tcW w:type="dxa" w:w="28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Source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Established home services</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2"/>
                <w:szCs w:val="22"/>
              </w:rPr>
              <w:t xml:space="preserve">8–12x EBITDA</w:t>
            </w:r>
          </w:p>
        </w:tc>
        <w:tc>
          <w:tcPr>
            <w:tcW w:type="dxa" w:w="2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GF Data · PitchBook · industry benchmarks</w:t>
            </w:r>
          </w:p>
        </w:tc>
      </w:tr>
      <w:tr>
        <w:tc>
          <w:tcPr>
            <w:tcW w:type="dxa" w:w="35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Tech-enabled home services</w:t>
            </w:r>
          </w:p>
        </w:tc>
        <w:tc>
          <w:tcPr>
            <w:tcW w:type="dxa" w:w="30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10–14x EBITDA</w:t>
            </w:r>
          </w:p>
        </w:tc>
        <w:tc>
          <w:tcPr>
            <w:tcW w:type="dxa" w:w="286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val="false"/>
                <w:bCs w:val="false"/>
                <w:i/>
                <w:iCs/>
                <w:color w:val="27500A"/>
                <w:sz w:val="16"/>
                <w:szCs w:val="16"/>
              </w:rPr>
              <w:t xml:space="preserve">Higher for proven tech-enabled platforms</w:t>
            </w:r>
          </w:p>
        </w:tc>
      </w:tr>
      <w:tr>
        <w:tc>
          <w:tcPr>
            <w:tcW w:type="dxa" w:w="3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Value creation breakdown (PE-era)</w:t>
            </w:r>
          </w:p>
        </w:tc>
        <w:tc>
          <w:tcPr>
            <w:tcW w:type="dxa" w:w="30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val="false"/>
                <w:bCs w:val="false"/>
                <w:i w:val="false"/>
                <w:iCs w:val="false"/>
                <w:sz w:val="16"/>
                <w:szCs w:val="16"/>
              </w:rPr>
              <w:t xml:space="preserve">32% multiple expansion · 54% VCI</w:t>
            </w:r>
          </w:p>
        </w:tc>
        <w:tc>
          <w:tcPr>
            <w:tcW w:type="dxa" w:w="28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McKinsey / Bain PE value-creation studies</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595959"/>
          <w:sz w:val="22"/>
          <w:szCs w:val="22"/>
        </w:rPr>
        <w:t xml:space="preserve">VCI = Value Creation Initiatives. FSM platform consolidation is a textbook VCI — directly improves franchisee unit economics, which flows through to franchisor royalty economics, which is what the PE buyer is paying for.</w:t>
      </w:r>
    </w:p>
    <w:p>
      <w:pPr>
        <w:pStyle w:val="Heading2"/>
        <w:spacing w:after="140" w:before="280"/>
      </w:pPr>
      <w:r>
        <w:rPr>
          <w:rFonts w:ascii="Arial" w:cs="Arial" w:eastAsia="Arial" w:hAnsi="Arial"/>
          <w:b/>
          <w:bCs/>
          <w:color w:val="185FA5"/>
          <w:sz w:val="26"/>
          <w:szCs w:val="26"/>
        </w:rPr>
        <w:t xml:space="preserve">HomeFront Brands — franchisor-level ROI model</w:t>
      </w:r>
    </w:p>
    <w:p>
      <w:pPr>
        <w:spacing w:after="80" w:before="80"/>
      </w:pPr>
      <w:r>
        <w:rPr>
          <w:rFonts w:ascii="Arial" w:cs="Arial" w:eastAsia="Arial" w:hAnsi="Arial"/>
          <w:sz w:val="22"/>
          <w:szCs w:val="22"/>
        </w:rPr>
        <w:t xml:space="preserve">The model is straightforward — if ServiceBridge is adopted across HomeFront Brands's network, what does that do to HomeFront Brands's exit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Variable</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Assumption</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Math</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Franchisee EBITDA improvement from FSM</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$8K/tech/year</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Route efficiency · job density · billing capture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Network tech base</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2,550 techs</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Vertical-calibrated from FDDs</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Buy-in rate assumed</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10% (working baseline)</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Conservative Phase 1-2 starting assumption</w:t>
            </w:r>
          </w:p>
        </w:tc>
      </w:tr>
      <w:tr>
        <w:tc>
          <w:tcPr>
            <w:tcW w:type="dxa" w:w="3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Network EBITDA improvement</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$2.04M/yr</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iCs/>
                <w:color w:val="27500A"/>
                <w:sz w:val="16"/>
                <w:szCs w:val="16"/>
              </w:rPr>
              <w:t xml:space="preserve">2,550 × 10% × $8K</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Royalty pass-through (~6%)</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$0.12M/yr</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Typical franchisor royalty rate</w:t>
            </w:r>
          </w:p>
        </w:tc>
      </w:tr>
      <w:tr>
        <w:tc>
          <w:tcPr>
            <w:tcW w:type="dxa" w:w="320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Exit multiple applied (12x)</w:t>
            </w:r>
          </w:p>
        </w:tc>
        <w:tc>
          <w:tcPr>
            <w:tcW w:type="dxa" w:w="308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center"/>
            </w:pPr>
            <w:r>
              <w:rPr>
                <w:rFonts w:ascii="Arial" w:cs="Arial" w:eastAsia="Arial" w:hAnsi="Arial"/>
                <w:b/>
                <w:bCs/>
                <w:i w:val="false"/>
                <w:iCs w:val="false"/>
                <w:color w:val="633806"/>
                <w:sz w:val="22"/>
                <w:szCs w:val="22"/>
              </w:rPr>
              <w:t xml:space="preserve">$1.47M</w:t>
            </w:r>
          </w:p>
        </w:tc>
        <w:tc>
          <w:tcPr>
            <w:tcW w:type="dxa" w:w="308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center"/>
            </w:pPr>
            <w:r>
              <w:rPr>
                <w:rFonts w:ascii="Arial" w:cs="Arial" w:eastAsia="Arial" w:hAnsi="Arial"/>
                <w:b w:val="false"/>
                <w:bCs w:val="false"/>
                <w:i/>
                <w:iCs/>
                <w:color w:val="633806"/>
                <w:sz w:val="16"/>
                <w:szCs w:val="16"/>
              </w:rPr>
              <w:t xml:space="preserve">Franchisor-level exit value add</w:t>
            </w:r>
          </w:p>
        </w:tc>
      </w:tr>
      <w:tr>
        <w:tc>
          <w:tcPr>
            <w:tcW w:type="dxa" w:w="320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left"/>
            </w:pPr>
            <w:r>
              <w:rPr>
                <w:rFonts w:ascii="Arial" w:cs="Arial" w:eastAsia="Arial" w:hAnsi="Arial"/>
                <w:b/>
                <w:bCs/>
                <w:i w:val="false"/>
                <w:iCs w:val="false"/>
                <w:color w:val="FFFFFF"/>
                <w:sz w:val="20"/>
                <w:szCs w:val="20"/>
              </w:rPr>
              <w:t xml:space="preserve">Direct franchisee-level exit (10x)</w:t>
            </w:r>
          </w:p>
        </w:tc>
        <w:tc>
          <w:tcPr>
            <w:tcW w:type="dxa" w:w="308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$20.4M</w:t>
            </w:r>
          </w:p>
        </w:tc>
        <w:tc>
          <w:tcPr>
            <w:tcW w:type="dxa" w:w="308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center"/>
            </w:pPr>
            <w:r>
              <w:rPr>
                <w:rFonts w:ascii="Arial" w:cs="Arial" w:eastAsia="Arial" w:hAnsi="Arial"/>
                <w:b w:val="false"/>
                <w:bCs w:val="false"/>
                <w:i/>
                <w:iCs/>
                <w:color w:val="FFFFFF"/>
                <w:sz w:val="16"/>
                <w:szCs w:val="16"/>
              </w:rPr>
              <w:t xml:space="preserve">Franchisee network enterprise value lift</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What ServiceBridge asks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Year</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Investment @ 10% buy-in (baseline)</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Cumulative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1</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$76,347</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$76,347</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2</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$76,347</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$152,694</w:t>
            </w:r>
          </w:p>
        </w:tc>
      </w:tr>
      <w:tr>
        <w:tc>
          <w:tcPr>
            <w:tcW w:type="dxa" w:w="3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3</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$76,347</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$229,041</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Stretch case for context: at 25% buy-in, Year 1 ARR jumps to $190,868 and 3-year cumulative reaches $572,604. We don't lead with this — 10% is our working baseline. 25% is what the math becomes if early wins compound.</w:t>
      </w:r>
    </w:p>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The ratio that lands this with PE</w:t>
            </w:r>
          </w:p>
          <w:p>
            <w:r>
              <w:rPr>
                <w:rFonts w:ascii="Arial" w:cs="Arial" w:eastAsia="Arial" w:hAnsi="Arial"/>
                <w:sz w:val="22"/>
                <w:szCs w:val="22"/>
              </w:rPr>
              <w:t xml:space="preserve">At 10% buy-in for HomeFront Brands — our conservative working baseline — franchisee-level exit value creation is ~$20M (10% penetration × $8K/tech EBITDA × 10x multiple). 3-year cumulative ServiceBridge investment is ~$229.04K at 10% buy-in. The ratio of value created to platform cost is roughly 89x. This is the arithmetic that franchisor CFOs and PE operating partners use to evaluate platform initiatives — and 10% is intentionally the floor we set the conversation at, not the ceiling.</w:t>
            </w:r>
          </w:p>
        </w:tc>
      </w:tr>
    </w:tbl>
    <w:p>
      <w:pPr>
        <w:spacing w:after="100" w:before="200"/>
      </w:pPr>
      <w:r>
        <w:rPr>
          <w:rFonts w:ascii="Arial" w:cs="Arial" w:eastAsia="Arial" w:hAnsi="Arial"/>
          <w:b/>
          <w:bCs/>
          <w:color w:val="1A2B3C"/>
          <w:sz w:val="22"/>
          <w:szCs w:val="22"/>
        </w:rPr>
        <w:t xml:space="preserve">How the math shifts with adoption</w:t>
      </w:r>
    </w:p>
    <w:p>
      <w:pPr>
        <w:spacing w:after="80" w:before="80"/>
      </w:pPr>
      <w:r>
        <w:rPr>
          <w:rFonts w:ascii="Arial" w:cs="Arial" w:eastAsia="Arial" w:hAnsi="Arial"/>
          <w:sz w:val="22"/>
          <w:szCs w:val="22"/>
        </w:rPr>
        <w:t xml:space="preserve">At different network penetration rates, the franchisee-level exit value created by a HomeFront Brands ServiceBridge rollout scales: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Buy-in rate</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Techs adopting</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Network EBITDA lift</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Franchisee exit value (10x)</w:t>
            </w:r>
          </w:p>
        </w:tc>
      </w:tr>
      <w:tr>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10% (working baseline)</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255</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$2.0M</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$20M</w:t>
            </w:r>
          </w:p>
        </w:tc>
      </w:tr>
      <w:tr>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25% (stretch case)</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638</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$5.1M</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2"/>
                <w:szCs w:val="22"/>
              </w:rPr>
              <w:t xml:space="preserve">$51M</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How we engage</w:t>
      </w:r>
    </w:p>
    <w:p>
      <w:pPr>
        <w:pStyle w:val="Heading2"/>
        <w:spacing w:after="140" w:before="280"/>
      </w:pPr>
      <w:r>
        <w:rPr>
          <w:rFonts w:ascii="Arial" w:cs="Arial" w:eastAsia="Arial" w:hAnsi="Arial"/>
          <w:b/>
          <w:bCs/>
          <w:color w:val="185FA5"/>
          <w:sz w:val="26"/>
          <w:szCs w:val="26"/>
        </w:rPr>
        <w:t xml:space="preserve">Engagement urgency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URGENCY SCORE</w:t>
            </w:r>
          </w:p>
        </w:tc>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TIME-TO-ENGAGE</w:t>
            </w:r>
          </w:p>
        </w:tc>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STRATEGIC RANK</w:t>
            </w:r>
          </w:p>
        </w:tc>
      </w:tr>
      <w:tr>
        <w:tc>
          <w:tcPr>
            <w:tcW w:type="dxa" w:w="312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32"/>
                <w:szCs w:val="32"/>
              </w:rPr>
              <w:t xml:space="preserve">3 / 15</w:t>
            </w:r>
          </w:p>
        </w:tc>
        <w:tc>
          <w:tcPr>
            <w:tcW w:type="dxa" w:w="312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22"/>
                <w:szCs w:val="22"/>
              </w:rPr>
              <w:t xml:space="preserve">LONG-CYCLE (Phase 3+ or Hold)</w:t>
            </w:r>
          </w:p>
        </w:tc>
        <w:tc>
          <w:tcPr>
            <w:tcW w:type="dxa" w:w="312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1A2B3C"/>
                <w:sz w:val="22"/>
                <w:szCs w:val="22"/>
              </w:rPr>
              <w:t xml:space="preserve">#7 of 7  (MONITOR-MODE)</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Why this urgency score — 5-signal breakdown</w:t>
      </w:r>
    </w:p>
    <w:tbl>
      <w:tblPr>
        <w:tblW w:type="dxa" w:w="129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900"/>
        <w:gridCol w:w="9000"/>
      </w:tblGrid>
      <w:tr>
        <w:trPr>
          <w:tblHeader/>
        </w:trPr>
        <w:tc>
          <w:tcPr>
            <w:tcW w:type="dxa" w:w="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Signal</w:t>
            </w:r>
          </w:p>
        </w:tc>
        <w:tc>
          <w:tcPr>
            <w:tcW w:type="dxa" w:w="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7"/>
                <w:szCs w:val="17"/>
              </w:rPr>
              <w:t xml:space="preserve">Score</w:t>
            </w:r>
          </w:p>
        </w:tc>
        <w:tc>
          <w:tcPr>
            <w:tcW w:type="dxa" w:w="9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Why this score</w:t>
            </w:r>
          </w:p>
        </w:tc>
      </w:tr>
      <w:tr>
        <w:tc>
          <w:tcPr>
            <w:tcW w:type="dxa" w:w="6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Leadership transition</w:t>
            </w:r>
          </w:p>
        </w:tc>
        <w:tc>
          <w:tcPr>
            <w:tcW w:type="dxa" w:w="9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20"/>
                <w:szCs w:val="20"/>
              </w:rPr>
              <w:t xml:space="preserve">0/3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Dudan family-led (Jeff CEO, Zack COO). No transition window.</w:t>
            </w:r>
          </w:p>
        </w:tc>
      </w:tr>
      <w:tr>
        <w:tc>
          <w:tcPr>
            <w:tcW w:type="dxa" w:w="6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In-window event presence</w:t>
            </w:r>
          </w:p>
        </w:tc>
        <w:tc>
          <w:tcPr>
            <w:tcW w:type="dxa" w:w="9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20"/>
                <w:szCs w:val="20"/>
              </w:rPr>
              <w:t xml:space="preserve">0/3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No HomeFront target confirmed at any in-window event.</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Active buying-mode signals</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FDD shows limited franchisor tooling. No active speaking/publishing pattern at C-suite level.</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Existing access vector</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No documented warm path to Dudan Group family office. Private ownership limits warm intro pathways.</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Active vendor evaluation</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Unhappy Franchisee Dec 2025 signals operator turmoil — but family office governance issues mean franchisor-level tech investment is questionable. Bottom-up path is the only realistic Phase 1 opening, but Brothers That Just Do Gutters scored low on Track 2 P1 anyway.</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What this means — first engagement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5F5F5"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Where to start with HomeFront Brands this week</w:t>
            </w:r>
          </w:p>
          <w:p>
            <w:r>
              <w:rPr>
                <w:rFonts w:ascii="Arial" w:cs="Arial" w:eastAsia="Arial" w:hAnsi="Arial"/>
                <w:sz w:val="22"/>
                <w:szCs w:val="22"/>
              </w:rPr>
              <w:t xml:space="preserve">HomeFront stays Monitor posture. No Phase 1 active engagement. Reassess Q3 when franchisor governance picture clarifies.</w:t>
            </w:r>
          </w:p>
        </w:tc>
      </w:tr>
    </w:tbl>
    <w:p>
      <w:pPr>
        <w:spacing w:after="80" w:before="80"/>
      </w:pPr>
      <w:r>
        <w:rPr>
          <w:rFonts w:ascii="Arial" w:cs="Arial" w:eastAsia="Arial" w:hAnsi="Arial"/>
          <w:b w:val="false"/>
          <w:bCs w:val="false"/>
          <w:sz w:val="22"/>
          <w:szCs w:val="22"/>
        </w:rPr>
        <w:t xml:space="preserve">1. Hold — no Phase 1 actions.</w:t>
      </w:r>
    </w:p>
    <w:p>
      <w:pPr>
        <w:spacing w:after="80" w:before="80"/>
      </w:pPr>
      <w:r>
        <w:rPr>
          <w:rFonts w:ascii="Arial" w:cs="Arial" w:eastAsia="Arial" w:hAnsi="Arial"/>
          <w:b w:val="false"/>
          <w:bCs w:val="false"/>
          <w:sz w:val="22"/>
          <w:szCs w:val="22"/>
        </w:rPr>
        <w:t xml:space="preserve">2. Reassess Q3: revisit Unhappy Franchisee signals + any leadership change at HomeFront.</w:t>
      </w:r>
    </w:p>
    <w:p>
      <w:pPr>
        <w:spacing w:after="80" w:before="80"/>
      </w:pPr>
      <w:r>
        <w:rPr>
          <w:rFonts w:ascii="Arial" w:cs="Arial" w:eastAsia="Arial" w:hAnsi="Arial"/>
          <w:b w:val="false"/>
          <w:bCs w:val="false"/>
          <w:sz w:val="22"/>
          <w:szCs w:val="22"/>
        </w:rPr>
        <w:t xml:space="preserve">3. If operator-level intel surfaces opportunistically through Track 1 P1 marketing reach, capture it for Phase 2 evaluation.</w:t>
      </w:r>
    </w:p>
    <w:p>
      <w:pPr>
        <w:pBdr>
          <w:bottom w:val="single" w:color="185FA5" w:sz="6" w:space="1"/>
        </w:pBdr>
        <w:spacing w:after="120" w:before="120"/>
      </w:pPr>
    </w:p>
    <w:p>
      <w:pPr>
        <w:pStyle w:val="Heading2"/>
        <w:spacing w:after="140" w:before="280"/>
      </w:pPr>
      <w:r>
        <w:rPr>
          <w:rFonts w:ascii="Arial" w:cs="Arial" w:eastAsia="Arial" w:hAnsi="Arial"/>
          <w:b/>
          <w:bCs/>
          <w:color w:val="185FA5"/>
          <w:sz w:val="26"/>
          <w:szCs w:val="26"/>
        </w:rPr>
        <w:t xml:space="preserve">Where this one sits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CEBEB"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HomeFront Brands is ranked 7 of 7 P1 targets — character: MONITOR-MODE</w:t>
            </w:r>
          </w:p>
          <w:p>
            <w:r>
              <w:rPr>
                <w:rFonts w:ascii="Arial" w:cs="Arial" w:eastAsia="Arial" w:hAnsi="Arial"/>
                <w:sz w:val="22"/>
                <w:szCs w:val="22"/>
              </w:rPr>
              <w:t xml:space="preserve">MONITOR-MODE character. My read is active engagement isn't right in the current quarter. Family office ownership, franchisee turmoil, and the lowest score (44.0 V2) combine to a high-friction, low-return profile. We keep HomeFront on the P1 list for visibility but not in the active sequence.</w:t>
            </w:r>
          </w:p>
        </w:tc>
      </w:tr>
    </w:tbl>
    <w:p>
      <w:pPr>
        <w:pStyle w:val="Heading2"/>
        <w:spacing w:after="140" w:before="280"/>
      </w:pPr>
      <w:r>
        <w:rPr>
          <w:rFonts w:ascii="Arial" w:cs="Arial" w:eastAsia="Arial" w:hAnsi="Arial"/>
          <w:b/>
          <w:bCs/>
          <w:color w:val="185FA5"/>
          <w:sz w:val="26"/>
          <w:szCs w:val="26"/>
        </w:rPr>
        <w:t xml:space="preserve">Where I think we wedge in</w:t>
      </w:r>
    </w:p>
    <w:p>
      <w:pPr>
        <w:spacing w:after="80" w:before="80"/>
      </w:pPr>
      <w:r>
        <w:rPr>
          <w:rFonts w:ascii="Arial" w:cs="Arial" w:eastAsia="Arial" w:hAnsi="Arial"/>
          <w:sz w:val="22"/>
          <w:szCs w:val="22"/>
        </w:rPr>
        <w:t xml:space="preserve">No active wedge recommended. HomeFront goes into monitor-only status until Q3/Q4 2026 clarity on franchisee stability. If signals improve, reassess as tactical opportunity similar to ResiBrands / Five Star.</w:t>
      </w:r>
    </w:p>
    <w:p>
      <w:pPr>
        <w:pStyle w:val="ListParagraph"/>
        <w:numPr>
          <w:ilvl w:val="0"/>
          <w:numId w:val="2"/>
        </w:numPr>
        <w:spacing w:after="40" w:before="40"/>
      </w:pPr>
      <w:r>
        <w:rPr>
          <w:rFonts w:ascii="Arial" w:cs="Arial" w:eastAsia="Arial" w:hAnsi="Arial"/>
          <w:sz w:val="22"/>
          <w:szCs w:val="22"/>
        </w:rPr>
        <w:t xml:space="preserve">Monitor Unhappy Franchisee forum + franchisee satisfaction rankings.</w:t>
      </w:r>
    </w:p>
    <w:p>
      <w:pPr>
        <w:pStyle w:val="ListParagraph"/>
        <w:numPr>
          <w:ilvl w:val="0"/>
          <w:numId w:val="2"/>
        </w:numPr>
        <w:spacing w:after="40" w:before="40"/>
      </w:pPr>
      <w:r>
        <w:rPr>
          <w:rFonts w:ascii="Arial" w:cs="Arial" w:eastAsia="Arial" w:hAnsi="Arial"/>
          <w:sz w:val="22"/>
          <w:szCs w:val="22"/>
        </w:rPr>
        <w:t xml:space="preserve">Monitor Dudan Group capital activity — any outside investment would change exit dynamics.</w:t>
      </w:r>
    </w:p>
    <w:p>
      <w:pPr>
        <w:pStyle w:val="ListParagraph"/>
        <w:numPr>
          <w:ilvl w:val="0"/>
          <w:numId w:val="2"/>
        </w:numPr>
        <w:spacing w:after="40" w:before="40"/>
      </w:pPr>
      <w:r>
        <w:rPr>
          <w:rFonts w:ascii="Arial" w:cs="Arial" w:eastAsia="Arial" w:hAnsi="Arial"/>
          <w:sz w:val="22"/>
          <w:szCs w:val="22"/>
        </w:rPr>
        <w:t xml:space="preserve">If HomeFront adds franchisor-level FSM mandate, reassess immediately.</w:t>
      </w:r>
    </w:p>
    <w:p>
      <w:pPr>
        <w:pStyle w:val="ListParagraph"/>
        <w:numPr>
          <w:ilvl w:val="0"/>
          <w:numId w:val="2"/>
        </w:numPr>
        <w:spacing w:after="40" w:before="40"/>
      </w:pPr>
      <w:r>
        <w:rPr>
          <w:rFonts w:ascii="Arial" w:cs="Arial" w:eastAsia="Arial" w:hAnsi="Arial"/>
          <w:sz w:val="22"/>
          <w:szCs w:val="22"/>
        </w:rPr>
        <w:t xml:space="preserve">Active engagement NOT recommended before Q4 2026 checkpoint.</w:t>
      </w:r>
    </w:p>
    <w:p>
      <w:pPr>
        <w:pStyle w:val="Heading2"/>
      </w:pPr>
      <w:r>
        <w:t xml:space="preserve">Warm path &amp; contact intel — v15.36 CRM sync</w:t>
      </w:r>
    </w:p>
    <w:p>
      <w:pPr>
        <w:spacing w:before="80" w:after="80"/>
      </w:pPr>
      <w:r>
        <w:rPr>
          <w:i/>
          <w:iCs/>
          <w:color w:val="6B7280"/>
          <w:sz w:val="20"/>
          <w:szCs w:val="20"/>
        </w:rPr>
        <w:t xml:space="preserve">Top contacts plus warm-path status. 🟢 active warm angle · 🟡 status change to verify · 🟣 team assignment.</w:t>
      </w:r>
    </w:p>
    <w:tbl>
      <w:tblPr>
        <w:tblW w:w="9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00"/>
        <w:gridCol w:w="1900"/>
        <w:gridCol w:w="1900"/>
        <w:gridCol w:w="1700"/>
        <w:gridCol w:w="1800"/>
      </w:tblGrid>
      <w:tr>
        <w:trPr>
          <w:tblHeader/>
        </w:trPr>
        <w:tc>
          <w:tcPr>
            <w:tcW w:w="1700" w:type="dxa"/>
            <w:shd w:val="clear" w:color="auto" w:fill="1A2B3C"/>
          </w:tcPr>
          <w:p>
            <w:pPr>
              <w:spacing w:before="60" w:after="60"/>
            </w:pPr>
            <w:r>
              <w:rPr>
                <w:b/>
                <w:bCs/>
                <w:color w:val="FFFFFF"/>
                <w:sz w:val="18"/>
              </w:rPr>
              <w:t>Name</w:t>
            </w:r>
          </w:p>
        </w:tc>
        <w:tc>
          <w:tcPr>
            <w:tcW w:w="1900" w:type="dxa"/>
            <w:shd w:val="clear" w:color="auto" w:fill="1A2B3C"/>
          </w:tcPr>
          <w:p>
            <w:pPr>
              <w:spacing w:before="60" w:after="60"/>
            </w:pPr>
            <w:r>
              <w:rPr>
                <w:b/>
                <w:bCs/>
                <w:color w:val="FFFFFF"/>
                <w:sz w:val="18"/>
              </w:rPr>
              <w:t>Role</w:t>
            </w:r>
          </w:p>
        </w:tc>
        <w:tc>
          <w:tcPr>
            <w:tcW w:w="1900" w:type="dxa"/>
            <w:shd w:val="clear" w:color="auto" w:fill="1A2B3C"/>
          </w:tcPr>
          <w:p>
            <w:pPr>
              <w:spacing w:before="60" w:after="60"/>
            </w:pPr>
            <w:r>
              <w:rPr>
                <w:b/>
                <w:bCs/>
                <w:color w:val="FFFFFF"/>
                <w:sz w:val="18"/>
              </w:rPr>
              <w:t>LinkedIn</w:t>
            </w:r>
          </w:p>
        </w:tc>
        <w:tc>
          <w:tcPr>
            <w:tcW w:w="1700" w:type="dxa"/>
            <w:shd w:val="clear" w:color="auto" w:fill="1A2B3C"/>
          </w:tcPr>
          <w:p>
            <w:pPr>
              <w:spacing w:before="60" w:after="60"/>
            </w:pPr>
            <w:r>
              <w:rPr>
                <w:b/>
                <w:bCs/>
                <w:color w:val="FFFFFF"/>
                <w:sz w:val="18"/>
              </w:rPr>
              <w:t>School</w:t>
            </w:r>
          </w:p>
        </w:tc>
        <w:tc>
          <w:tcPr>
            <w:tcW w:w="1800" w:type="dxa"/>
            <w:shd w:val="clear" w:color="auto" w:fill="1A2B3C"/>
          </w:tcPr>
          <w:p>
            <w:pPr>
              <w:spacing w:before="60" w:after="60"/>
            </w:pPr>
            <w:r>
              <w:rPr>
                <w:b/>
                <w:bCs/>
                <w:color w:val="FFFFFF"/>
                <w:sz w:val="18"/>
              </w:rPr>
              <w:t>Warm-Path Status / Notes</w:t>
            </w:r>
          </w:p>
        </w:tc>
      </w:tr>
      <w:tr>
        <w:tc>
          <w:tcPr>
            <w:tcW w:w="1700" w:type="dxa"/>
            <w:shd w:val="clear" w:color="auto" w:fill="D1FAE5"/>
          </w:tcPr>
          <w:p>
            <w:pPr>
              <w:spacing w:before="40" w:after="40"/>
            </w:pPr>
            <w:r>
              <w:rPr>
                <w:b/>
                <w:bCs/>
                <w:sz w:val="18"/>
              </w:rPr>
              <w:t xml:space="preserve">Jeff Dudan</w:t>
            </w:r>
          </w:p>
        </w:tc>
        <w:tc>
          <w:tcPr>
            <w:tcW w:w="1900" w:type="dxa"/>
            <w:shd w:val="clear" w:color="auto" w:fill="D1FAE5"/>
          </w:tcPr>
          <w:p>
            <w:pPr>
              <w:spacing w:before="40" w:after="40"/>
            </w:pPr>
            <w:r>
              <w:rPr>
                <w:sz w:val="18"/>
              </w:rPr>
              <w:t xml:space="preserve">Chairman &amp; CEO</w:t>
            </w:r>
          </w:p>
        </w:tc>
        <w:tc>
          <w:tcPr>
            <w:tcW w:w="1900" w:type="dxa"/>
            <w:shd w:val="clear" w:color="auto" w:fill="D1FAE5"/>
          </w:tcPr>
          <w:p>
            <w:pPr>
              <w:spacing w:before="40" w:after="40"/>
            </w:pPr>
            <w:r>
              <w:rPr>
                <w:color w:val="185FA5"/>
                <w:sz w:val="16"/>
              </w:rPr>
              <w:t xml:space="preserve">jeffdudan</w:t>
            </w:r>
          </w:p>
        </w:tc>
        <w:tc>
          <w:tcPr>
            <w:tcW w:w="1700" w:type="dxa"/>
            <w:shd w:val="clear" w:color="auto" w:fill="D1FAE5"/>
          </w:tcPr>
          <w:p>
            <w:pPr>
              <w:spacing w:before="40" w:after="40"/>
            </w:pPr>
            <w:r>
              <w:rPr>
                <w:sz w:val="16"/>
              </w:rPr>
              <w:t xml:space="preserve">Appalachian State University ⭐ NC SCHOOL — active in App State’s Yosef Club (athletics fun</w:t>
            </w:r>
          </w:p>
        </w:tc>
        <w:tc>
          <w:tcPr>
            <w:tcW w:w="1800" w:type="dxa"/>
            <w:shd w:val="clear" w:color="auto" w:fill="D1FAE5"/>
          </w:tcPr>
          <w:p>
            <w:pPr>
              <w:spacing w:before="40" w:after="40"/>
            </w:pPr>
            <w:r>
              <w:rPr>
                <w:i/>
                <w:iCs/>
                <w:sz w:val="16"/>
              </w:rPr>
              <w:t xml:space="preserve">I will try and work an App State angle to introduce myself.</w:t>
            </w:r>
          </w:p>
        </w:tc>
      </w:tr>
      <w:tr>
        <w:tc>
          <w:tcPr>
            <w:tcW w:w="1700" w:type="dxa"/>
            <w:shd w:val="clear" w:color="auto" w:fill="FFFFFF"/>
          </w:tcPr>
          <w:p>
            <w:pPr>
              <w:spacing w:before="40" w:after="40"/>
            </w:pPr>
            <w:r>
              <w:rPr>
                <w:b/>
                <w:bCs/>
                <w:sz w:val="18"/>
              </w:rPr>
              <w:t xml:space="preserve">Mike Dudan</w:t>
            </w:r>
          </w:p>
        </w:tc>
        <w:tc>
          <w:tcPr>
            <w:tcW w:w="1900" w:type="dxa"/>
            <w:shd w:val="clear" w:color="auto" w:fill="FFFFFF"/>
          </w:tcPr>
          <w:p>
            <w:pPr>
              <w:spacing w:before="40" w:after="40"/>
            </w:pPr>
            <w:r>
              <w:rPr>
                <w:sz w:val="18"/>
              </w:rPr>
              <w:t xml:space="preserve">CFO</w:t>
            </w:r>
          </w:p>
        </w:tc>
        <w:tc>
          <w:tcPr>
            <w:tcW w:w="1900" w:type="dxa"/>
            <w:shd w:val="clear" w:color="auto" w:fill="FFFFFF"/>
          </w:tcPr>
          <w:p>
            <w:pPr>
              <w:spacing w:before="40" w:after="40"/>
            </w:pPr>
            <w:r>
              <w:rPr>
                <w:color w:val="185FA5"/>
                <w:sz w:val="16"/>
              </w:rPr>
              <w:t xml:space="preserve">mike-dudan</w:t>
            </w:r>
          </w:p>
        </w:tc>
        <w:tc>
          <w:tcPr>
            <w:tcW w:w="1700" w:type="dxa"/>
            <w:shd w:val="clear" w:color="auto" w:fill="FFFFFF"/>
          </w:tcPr>
          <w:p>
            <w:pPr>
              <w:spacing w:before="40" w:after="40"/>
            </w:pPr>
            <w:r>
              <w:rPr>
                <w:sz w:val="16"/>
              </w:rPr>
              <w:t xml:space="preserve">Appalachian State 1992-1996 + Schaumburg HS 1989 ⭐ NC SCHOOL</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Zack Dudan</w:t>
            </w:r>
          </w:p>
        </w:tc>
        <w:tc>
          <w:tcPr>
            <w:tcW w:w="1900" w:type="dxa"/>
            <w:shd w:val="clear" w:color="auto" w:fill="FFFFFF"/>
          </w:tcPr>
          <w:p>
            <w:pPr>
              <w:spacing w:before="40" w:after="40"/>
            </w:pPr>
            <w:r>
              <w:rPr>
                <w:sz w:val="18"/>
              </w:rPr>
              <w:t xml:space="preserve">Chief Growth Officer</w:t>
            </w:r>
          </w:p>
        </w:tc>
        <w:tc>
          <w:tcPr>
            <w:tcW w:w="1900" w:type="dxa"/>
            <w:shd w:val="clear" w:color="auto" w:fill="FFFFFF"/>
          </w:tcPr>
          <w:p>
            <w:pPr>
              <w:spacing w:before="40" w:after="40"/>
            </w:pPr>
            <w:r>
              <w:rPr>
                <w:color w:val="185FA5"/>
                <w:sz w:val="16"/>
              </w:rPr>
              <w:t xml:space="preserve">zackdudan</w:t>
            </w:r>
          </w:p>
        </w:tc>
        <w:tc>
          <w:tcPr>
            <w:tcW w:w="1700" w:type="dxa"/>
            <w:shd w:val="clear" w:color="auto" w:fill="FFFFFF"/>
          </w:tcPr>
          <w:p>
            <w:pPr>
              <w:spacing w:before="40" w:after="40"/>
            </w:pPr>
            <w:r>
              <w:rPr>
                <w:sz w:val="16"/>
              </w:rPr>
              <w:t xml:space="preserve">Elon University Martha and Spencer Love School of Business ⭐ NC SCHOOL</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Michael O’Driscoll</w:t>
            </w:r>
          </w:p>
        </w:tc>
        <w:tc>
          <w:tcPr>
            <w:tcW w:w="1900" w:type="dxa"/>
            <w:shd w:val="clear" w:color="auto" w:fill="FFFFFF"/>
          </w:tcPr>
          <w:p>
            <w:pPr>
              <w:spacing w:before="40" w:after="40"/>
            </w:pPr>
            <w:r>
              <w:rPr>
                <w:sz w:val="18"/>
              </w:rPr>
              <w:t xml:space="preserve">COO &amp; Pres of Franchising</w:t>
            </w:r>
          </w:p>
        </w:tc>
        <w:tc>
          <w:tcPr>
            <w:tcW w:w="1900" w:type="dxa"/>
            <w:shd w:val="clear" w:color="auto" w:fill="FFFFFF"/>
          </w:tcPr>
          <w:p>
            <w:pPr>
              <w:spacing w:before="40" w:after="40"/>
            </w:pPr>
            <w:r>
              <w:rPr>
                <w:color w:val="185FA5"/>
                <w:sz w:val="16"/>
              </w:rPr>
              <w:t xml:space="preserve">michaelodriscollfranchising</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Tyler Kirk</w:t>
            </w:r>
          </w:p>
        </w:tc>
        <w:tc>
          <w:tcPr>
            <w:tcW w:w="1900" w:type="dxa"/>
            <w:shd w:val="clear" w:color="auto" w:fill="FFFFFF"/>
          </w:tcPr>
          <w:p>
            <w:pPr>
              <w:spacing w:before="40" w:after="40"/>
            </w:pPr>
            <w:r>
              <w:rPr>
                <w:sz w:val="18"/>
              </w:rPr>
              <w:t xml:space="preserve">Window Hero Founder/CEO</w:t>
            </w:r>
          </w:p>
        </w:tc>
        <w:tc>
          <w:tcPr>
            <w:tcW w:w="1900" w:type="dxa"/>
            <w:shd w:val="clear" w:color="auto" w:fill="FFFFFF"/>
          </w:tcPr>
          <w:p>
            <w:pPr>
              <w:spacing w:before="40" w:after="40"/>
            </w:pPr>
            <w:r>
              <w:rPr>
                <w:color w:val="185FA5"/>
                <w:sz w:val="16"/>
              </w:rPr>
              <w:t xml:space="preserve">tylerkirk-windowhero</w:t>
            </w:r>
          </w:p>
        </w:tc>
        <w:tc>
          <w:tcPr>
            <w:tcW w:w="1700" w:type="dxa"/>
            <w:shd w:val="clear" w:color="auto" w:fill="FFFFFF"/>
          </w:tcPr>
          <w:p>
            <w:pPr>
              <w:spacing w:before="40" w:after="40"/>
            </w:pPr>
            <w:r>
              <w:rPr>
                <w:sz w:val="16"/>
              </w:rPr>
              <w:t xml:space="preserve">UNC Charlotte ⭐</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Tim McCullen</w:t>
            </w:r>
          </w:p>
        </w:tc>
        <w:tc>
          <w:tcPr>
            <w:tcW w:w="1900" w:type="dxa"/>
            <w:shd w:val="clear" w:color="auto" w:fill="FFFFFF"/>
          </w:tcPr>
          <w:p>
            <w:pPr>
              <w:spacing w:before="40" w:after="40"/>
            </w:pPr>
            <w:r>
              <w:rPr>
                <w:sz w:val="18"/>
              </w:rPr>
              <w:t xml:space="preserve">Window Gang Founder/Brand Pres</w:t>
            </w:r>
          </w:p>
        </w:tc>
        <w:tc>
          <w:tcPr>
            <w:tcW w:w="1900" w:type="dxa"/>
            <w:shd w:val="clear" w:color="auto" w:fill="FFFFFF"/>
          </w:tcPr>
          <w:p>
            <w:pPr>
              <w:spacing w:before="40" w:after="40"/>
            </w:pPr>
            <w:r>
              <w:rPr>
                <w:color w:val="185FA5"/>
                <w:sz w:val="16"/>
              </w:rPr>
              <w:t xml:space="preserve">tim-mccullen</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Todd Bingham</w:t>
            </w:r>
          </w:p>
        </w:tc>
        <w:tc>
          <w:tcPr>
            <w:tcW w:w="1900" w:type="dxa"/>
            <w:shd w:val="clear" w:color="auto" w:fill="FFFFFF"/>
          </w:tcPr>
          <w:p>
            <w:pPr>
              <w:spacing w:before="40" w:after="40"/>
            </w:pPr>
            <w:r>
              <w:rPr>
                <w:sz w:val="18"/>
              </w:rPr>
              <w:t xml:space="preserve">Top Rail Fence Brand Pres</w:t>
            </w:r>
          </w:p>
        </w:tc>
        <w:tc>
          <w:tcPr>
            <w:tcW w:w="1900" w:type="dxa"/>
            <w:shd w:val="clear" w:color="auto" w:fill="FFFFFF"/>
          </w:tcPr>
          <w:p>
            <w:pPr>
              <w:spacing w:before="40" w:after="40"/>
            </w:pPr>
            <w:r>
              <w:rPr>
                <w:color w:val="185FA5"/>
                <w:sz w:val="16"/>
              </w:rPr>
              <w:t xml:space="preserve">todd-bingham-7a8b2210</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Michael Wagner</w:t>
            </w:r>
          </w:p>
        </w:tc>
        <w:tc>
          <w:tcPr>
            <w:tcW w:w="1900" w:type="dxa"/>
            <w:shd w:val="clear" w:color="auto" w:fill="FFFFFF"/>
          </w:tcPr>
          <w:p>
            <w:pPr>
              <w:spacing w:before="40" w:after="40"/>
            </w:pPr>
            <w:r>
              <w:rPr>
                <w:sz w:val="18"/>
              </w:rPr>
              <w:t xml:space="preserve">Roof Scientist Brand Pres</w:t>
            </w:r>
          </w:p>
        </w:tc>
        <w:tc>
          <w:tcPr>
            <w:tcW w:w="1900" w:type="dxa"/>
            <w:shd w:val="clear" w:color="auto" w:fill="FFFFFF"/>
          </w:tcPr>
          <w:p>
            <w:pPr>
              <w:spacing w:before="40" w:after="40"/>
            </w:pPr>
            <w:r>
              <w:rPr>
                <w:color w:val="185FA5"/>
                <w:sz w:val="16"/>
              </w:rPr>
              <w:t xml:space="preserve">mike-wagner-rs</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bl>
    <w:p>
      <w:pPr>
        <w:pStyle w:val="Heading1"/>
      </w:pPr>
      <w:r>
        <w:t xml:space="preserve">📞 Outreach plan &amp; sequencing — IN DEVELOPMENT</w:t>
      </w:r>
    </w:p>
    <w:tbl>
      <w:tblPr>
        <w:tblW w:w="9000" w:type="dxa"/>
        <w:tblBorders>
          <w:top w:val="single" w:sz="4" w:space="0" w:color="D97706"/>
          <w:left w:val="single" w:sz="4" w:space="0" w:color="D97706"/>
          <w:bottom w:val="single" w:sz="4" w:space="0" w:color="D97706"/>
          <w:right w:val="single" w:sz="4" w:space="0" w:color="D97706"/>
        </w:tblBorders>
      </w:tblPr>
      <w:tblGrid>
        <w:gridCol w:w="9000"/>
      </w:tblGrid>
      <w:tr>
        <w:tc>
          <w:tcPr>
            <w:tcW w:w="9000" w:type="dxa"/>
            <w:shd w:val="clear" w:color="auto" w:fill="FEF3C7"/>
          </w:tcPr>
          <w:p>
            <w:pPr>
              <w:spacing w:before="80" w:after="80"/>
            </w:pPr>
            <w:r>
              <w:rPr>
                <w:b/>
                <w:bCs/>
                <w:color w:val="92400E"/>
              </w:rPr>
              <w:t xml:space="preserve">Status: </w:t>
            </w:r>
            <w:r>
              <w:t xml:space="preserve">Working with Becky (GPS Insight Marketing) on a coordinated warm marketing touch plan that sequences outreach against the contacts above using Alumni Crossover v19 warm anchors. Will populate as deliverables land. Live entries in Master CRM v15.36 Engagement Log (#79–83).</w:t>
            </w:r>
          </w:p>
        </w:tc>
      </w:tr>
    </w:tbl>
    <w:p>
      <w:pPr>
        <w:spacing w:before="80" w:after="80"/>
      </w:pPr>
      <w:r>
        <w:rPr>
          <w:b/>
          <w:bCs/>
          <w:color w:val="1A2B3C"/>
        </w:rPr>
        <w:t xml:space="preserve">Inputs needed from GPS Insight team:</w:t>
      </w:r>
    </w:p>
    <w:p>
      <w:pPr>
        <w:spacing w:before="40" w:after="40"/>
        <w:ind w:left="360" w:hanging="360"/>
      </w:pPr>
      <w:r>
        <w:t>• Alumni hits in column J of Alumni Crossover v19 (alma mater matches)</w:t>
      </w:r>
    </w:p>
    <w:p>
      <w:pPr>
        <w:spacing w:before="40" w:after="40"/>
        <w:ind w:left="360" w:hanging="360"/>
      </w:pPr>
      <w:r>
        <w:t>• LinkedIn 1st-degree mutual connections — click each LinkedIn URL above</w:t>
      </w:r>
    </w:p>
    <w:p>
      <w:pPr>
        <w:spacing w:before="40" w:after="40"/>
        <w:ind w:left="360" w:hanging="360"/>
      </w:pPr>
      <w:r>
        <w:t>• Verification of any flagged status changes before sequencing</w:t>
      </w:r>
    </w:p>
    <w:p>
      <w:pPr>
        <w:pStyle w:val="Heading1"/>
        <w:spacing w:after="180" w:before="360"/>
      </w:pPr>
      <w:r>
        <w:rPr>
          <w:rFonts w:ascii="Arial" w:cs="Arial" w:eastAsia="Arial" w:hAnsi="Arial"/>
          <w:b/>
          <w:bCs/>
          <w:color w:val="1A2B3C"/>
          <w:sz w:val="32"/>
          <w:szCs w:val="32"/>
        </w:rPr>
        <w:t xml:space="preserve">⚔️ Competitive landscape — where the headwinds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My read on HomeFront Brands's FSM landscape</w:t>
            </w:r>
          </w:p>
          <w:p>
            <w:r>
              <w:rPr>
                <w:rFonts w:ascii="Arial" w:cs="Arial" w:eastAsia="Arial" w:hAnsi="Arial"/>
                <w:sz w:val="22"/>
                <w:szCs w:val="22"/>
              </w:rPr>
              <w:t xml:space="preserve">Limited franchisor tooling. FSM is franchisee-choice across all brands. No mandate, no portfolio aggregation leverage for ServiceBridge. Combined with family office ownership and franchisee turmoil signals (Unhappy Franchisee Dec 2025), this is monitor-only territory. Reassess Q3/Q4 2026.</w:t>
            </w:r>
          </w:p>
        </w:tc>
      </w:tr>
    </w:tbl>
    <w:p>
      <w:pPr>
        <w:pStyle w:val="Heading2"/>
        <w:spacing w:after="140" w:before="280"/>
      </w:pPr>
      <w:r>
        <w:rPr>
          <w:rFonts w:ascii="Arial" w:cs="Arial" w:eastAsia="Arial" w:hAnsi="Arial"/>
          <w:b/>
          <w:bCs/>
          <w:color w:val="185FA5"/>
          <w:sz w:val="26"/>
          <w:szCs w:val="26"/>
        </w:rPr>
        <w:t xml:space="preserve">Brand-by-brand FSM map</w:t>
      </w:r>
    </w:p>
    <w:p>
      <w:pPr>
        <w:spacing w:after="80" w:before="80"/>
      </w:pPr>
      <w:r>
        <w:rPr>
          <w:rFonts w:ascii="Arial" w:cs="Arial" w:eastAsia="Arial" w:hAnsi="Arial"/>
          <w:sz w:val="22"/>
          <w:szCs w:val="22"/>
        </w:rPr>
        <w:t xml:space="preserve">Where each brand stands on FSM today, who pays for it, and how big the headwind is for displacement. Highlights where we have open territory vs where the incumbent is locked in.</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800"/>
        <w:gridCol w:w="1100"/>
        <w:gridCol w:w="950"/>
        <w:gridCol w:w="3330"/>
      </w:tblGrid>
      <w:tr>
        <w:trPr>
          <w:tblHeader/>
        </w:trPr>
        <w:tc>
          <w:tcPr>
            <w:tcW w:type="dxa" w:w="17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Brand</w:t>
            </w:r>
          </w:p>
        </w:tc>
        <w:tc>
          <w:tcPr>
            <w:tcW w:type="dxa" w:w="1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Current FSM</w:t>
            </w:r>
          </w:p>
        </w:tc>
        <w:tc>
          <w:tcPr>
            <w:tcW w:type="dxa" w:w="1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Mandate vs choice</w:t>
            </w:r>
          </w:p>
        </w:tc>
        <w:tc>
          <w:tcPr>
            <w:tcW w:type="dxa" w:w="11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Headwind</w:t>
            </w:r>
          </w:p>
        </w:tc>
        <w:tc>
          <w:tcPr>
            <w:tcW w:type="dxa" w:w="95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GPO</w:t>
            </w:r>
          </w:p>
        </w:tc>
        <w:tc>
          <w:tcPr>
            <w:tcW w:type="dxa" w:w="333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My read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Mosquito Authority</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Pest control. Fleet-heavy. Smaller footprint than Mosquito Shield or Mosquito Squad.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The Designery (HomeFront's)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Kitchen/bath design. Note: similar name to PSB's brand, different system.</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Window Hero</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Window/exterior cleaning.</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Rubbish Works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Junk removal.</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Yard Card</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Lawn signs/event yard greetings. Specialty.</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Top Rail Fence</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Fencing specialty.</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Headwind shorthand: LOW = open territory · MEDIUM = displacement effort · HIGH = entrenched specialty · LOCKED = mandated incumbent · HARD CONFLICT = competing against existing GPSI partnership · OPPORTUNITY = potential integration angle · NOT FSM = different category, no conflict · TBD = headwind level not yet determined.</w:t>
      </w:r>
    </w:p>
    <w:p>
      <w:pPr>
        <w:pStyle w:val="Heading1"/>
        <w:spacing w:after="180" w:before="360"/>
      </w:pPr>
      <w:r>
        <w:rPr>
          <w:rFonts w:ascii="Arial" w:cs="Arial" w:eastAsia="Arial" w:hAnsi="Arial"/>
          <w:b/>
          <w:bCs/>
          <w:color w:val="1A2B3C"/>
          <w:sz w:val="32"/>
          <w:szCs w:val="32"/>
        </w:rPr>
        <w:t xml:space="preserve">📣 Marketing touches &amp; warm-up tactics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section exists</w:t>
            </w:r>
          </w:p>
          <w:p>
            <w:r>
              <w:rPr>
                <w:rFonts w:ascii="Arial" w:cs="Arial" w:eastAsia="Arial" w:hAnsi="Arial"/>
                <w:sz w:val="22"/>
                <w:szCs w:val="22"/>
              </w:rPr>
              <w:t xml:space="preserve">PE warm path is high-leverage but slow. We can't depend on KKR or Apax or MidOcean to schedule the meeting that gets us in. We need GPS Insight and ServiceBridge to be names franchisor leadership has heard before — multiple times, through multiple channels — by the time the warm path activates. This section is the framework for that. Marketing ownership sits with Marketing teammates; my read is here to give us a starting point.</w:t>
            </w:r>
          </w:p>
        </w:tc>
      </w:tr>
    </w:tbl>
    <w:p>
      <w:pPr>
        <w:pStyle w:val="Heading2"/>
        <w:spacing w:after="140" w:before="280"/>
      </w:pPr>
      <w:r>
        <w:rPr>
          <w:rFonts w:ascii="Arial" w:cs="Arial" w:eastAsia="Arial" w:hAnsi="Arial"/>
          <w:b/>
          <w:bCs/>
          <w:color w:val="185FA5"/>
          <w:sz w:val="26"/>
          <w:szCs w:val="26"/>
        </w:rPr>
        <w:t xml:space="preserve">The framework — 7 channels we should be working in parallel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6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it does for us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Event presence</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Show up where they show up. IFA Annual, franchisor annual conventions, vertical-specific industry events. Booth, sponsorship, or attendee — physical proximity matters.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LinkedIn engagement</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Authentic, sustained engagement with executive content. Not spammy comments — real engagement that demonstrates we understand their business. Build name recognition over months, not weeks.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Challenge coin / branded touch</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Tasteful, deliberate physical touches sent with personal notes. Not mass mailers — hand-delivered or hand-mailed to named executives. Signals 'we built something we care about,' not 'we want to sell you something.'</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Press / earned media</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Get GPS Insight + ServiceBridge into franchise industry publications they read. Franchise Times, Franchise Update, Entrepreneur Franchise, FranchiseWire. Plus vertical-specific trade press for franchisee-level reach.</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Mutual connections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Map who in our combined networks already touches their network. Mutual LinkedIn connections, ex-colleagues, industry friends. Quietly identify warm second-degree paths to executives.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Inbound franchisee signal</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If a franchisee inquires about ServiceBridge, that signal travels back upstream. Franchisee-level adoption creates pull at the franchisor level. We track these and use them deliberately.</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Sponsorships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Strategic sponsorship of franchisor events, IFA tracks, vertical conferences where target executives are speaking. Visibility plus credibility plus the chance to host a meeting on-site.</w:t>
            </w:r>
          </w:p>
        </w:tc>
      </w:tr>
    </w:tbl>
    <w:p>
      <w:pPr>
        <w:pStyle w:val="Heading2"/>
        <w:spacing w:after="140" w:before="280"/>
      </w:pPr>
      <w:r>
        <w:rPr>
          <w:rFonts w:ascii="Arial" w:cs="Arial" w:eastAsia="Arial" w:hAnsi="Arial"/>
          <w:b/>
          <w:bCs/>
          <w:color w:val="185FA5"/>
          <w:sz w:val="26"/>
          <w:szCs w:val="26"/>
        </w:rPr>
        <w:t xml:space="preserve">What I see for HomeFront Brands specifically</w:t>
      </w:r>
    </w:p>
    <w:p>
      <w:pPr>
        <w:spacing w:after="100" w:before="200"/>
      </w:pPr>
      <w:r>
        <w:rPr>
          <w:rFonts w:ascii="Arial" w:cs="Arial" w:eastAsia="Arial" w:hAnsi="Arial"/>
          <w:b/>
          <w:bCs/>
          <w:color w:val="1A2B3C"/>
          <w:sz w:val="22"/>
          <w:szCs w:val="22"/>
        </w:rPr>
        <w:t xml:space="preserve">Past events — what we can learn</w:t>
      </w:r>
    </w:p>
    <w:p>
      <w:pPr>
        <w:spacing w:after="80" w:before="80"/>
      </w:pPr>
      <w:r>
        <w:rPr>
          <w:rFonts w:ascii="Arial" w:cs="Arial" w:eastAsia="Arial" w:hAnsi="Arial"/>
          <w:sz w:val="22"/>
          <w:szCs w:val="22"/>
        </w:rPr>
        <w:t xml:space="preserve">If an event already happened, it's no longer an engagement priority. But we can still mine it for intel — vendor lists, recognized franchisees, leadership themes, who spoke on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2680"/>
        <w:gridCol w:w="268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1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When</w:t>
            </w:r>
          </w:p>
        </w:tc>
        <w:tc>
          <w:tcPr>
            <w:tcW w:type="dxa" w:w="26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Context</w:t>
            </w:r>
          </w:p>
        </w:tc>
        <w:tc>
          <w:tcPr>
            <w:tcW w:type="dxa" w:w="26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we should look for</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Annual Convention 2026</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22-25 2026, Las Vegas</w:t>
            </w:r>
          </w:p>
        </w:tc>
        <w:tc>
          <w:tcPr>
            <w:tcW w:type="dxa" w:w="2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Family office franchisor — lower public visibility.</w:t>
            </w:r>
          </w:p>
        </w:tc>
        <w:tc>
          <w:tcPr>
            <w:tcW w:type="dxa" w:w="268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Confirm whether Jeff or Zack Dudan attended. Any session participation would signal reactivation.</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Upcoming events — where to engage</w:t>
      </w:r>
    </w:p>
    <w:p>
      <w:pPr>
        <w:spacing w:after="80" w:before="80"/>
      </w:pPr>
      <w:r>
        <w:rPr>
          <w:rFonts w:ascii="Arial" w:cs="Arial" w:eastAsia="Arial" w:hAnsi="Arial"/>
          <w:sz w:val="22"/>
          <w:szCs w:val="22"/>
        </w:rPr>
        <w:t xml:space="preserve">Where executives will be in the next 12 months. These are the actual engagement opportunities.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3560"/>
        <w:gridCol w:w="1200"/>
      </w:tblGrid>
      <w:tr>
        <w:trPr>
          <w:tblHeader/>
        </w:trPr>
        <w:tc>
          <w:tcPr>
            <w:tcW w:type="dxa" w:w="2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1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When</w:t>
            </w:r>
          </w:p>
        </w:tc>
        <w:tc>
          <w:tcPr>
            <w:tcW w:type="dxa" w:w="35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it matters</w:t>
            </w:r>
          </w:p>
        </w:tc>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Priority</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Monitor posture this period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Reassess at Q3/Q4 2026 milestone</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Active engagement not recommended this quarter given franchisee turmoil signals + family office complexity. Watch IFA 2027 and EFC 2026 for any reactivation signals.</w:t>
            </w:r>
          </w:p>
        </w:tc>
        <w:tc>
          <w:tcPr>
            <w:tcW w:type="dxa" w:w="120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center"/>
            </w:pPr>
            <w:r>
              <w:rPr>
                <w:rFonts w:ascii="Arial" w:cs="Arial" w:eastAsia="Arial" w:hAnsi="Arial"/>
                <w:b/>
                <w:bCs/>
                <w:i w:val="false"/>
                <w:iCs w:val="false"/>
                <w:color w:val="701010"/>
                <w:sz w:val="15"/>
                <w:szCs w:val="15"/>
              </w:rPr>
              <w:t xml:space="preserve">MONITOR</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Emerging Franchisor Conference 2026</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November 16-18, 2026 — Nashville, TN</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Watch only. Jeff or Zack Dudan attendance + session participation = signal worth investigating.</w:t>
            </w:r>
          </w:p>
        </w:tc>
        <w:tc>
          <w:tcPr>
            <w:tcW w:type="dxa" w:w="120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center"/>
            </w:pPr>
            <w:r>
              <w:rPr>
                <w:rFonts w:ascii="Arial" w:cs="Arial" w:eastAsia="Arial" w:hAnsi="Arial"/>
                <w:b/>
                <w:bCs/>
                <w:i w:val="false"/>
                <w:iCs w:val="false"/>
                <w:color w:val="701010"/>
                <w:sz w:val="15"/>
                <w:szCs w:val="15"/>
              </w:rPr>
              <w:t xml:space="preserve">MONITOR</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PestWorld 2026 (NPMA)</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October 20-23, 2026 — Gaylord Texan, Grapevine, TX</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Mosquito Authority franchisees attend. Could pick up franchisee-level intel without engaging at franchisor level.</w:t>
            </w:r>
          </w:p>
        </w:tc>
        <w:tc>
          <w:tcPr>
            <w:tcW w:type="dxa" w:w="120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center"/>
            </w:pPr>
            <w:r>
              <w:rPr>
                <w:rFonts w:ascii="Arial" w:cs="Arial" w:eastAsia="Arial" w:hAnsi="Arial"/>
                <w:b/>
                <w:bCs/>
                <w:i w:val="false"/>
                <w:iCs w:val="false"/>
                <w:color w:val="701010"/>
                <w:sz w:val="15"/>
                <w:szCs w:val="15"/>
              </w:rPr>
              <w:t xml:space="preserve">MONITOR</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Annual Convention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22-24, 2027 — Mandalay Bay, Las Vegas</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Watch for HomeFront leadership presence as reactivation signal.</w:t>
            </w:r>
          </w:p>
        </w:tc>
        <w:tc>
          <w:tcPr>
            <w:tcW w:type="dxa" w:w="120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center"/>
            </w:pPr>
            <w:r>
              <w:rPr>
                <w:rFonts w:ascii="Arial" w:cs="Arial" w:eastAsia="Arial" w:hAnsi="Arial"/>
                <w:b/>
                <w:bCs/>
                <w:i w:val="false"/>
                <w:iCs w:val="false"/>
                <w:color w:val="701010"/>
                <w:sz w:val="15"/>
                <w:szCs w:val="15"/>
              </w:rPr>
              <w:t xml:space="preserve">MONITOR</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Executives to track</w:t>
      </w:r>
    </w:p>
    <w:p>
      <w:pPr>
        <w:spacing w:after="80" w:before="80"/>
      </w:pPr>
      <w:r>
        <w:rPr>
          <w:rFonts w:ascii="Arial" w:cs="Arial" w:eastAsia="Arial" w:hAnsi="Arial"/>
          <w:sz w:val="22"/>
          <w:szCs w:val="22"/>
        </w:rPr>
        <w:t xml:space="preserve">Where these executives speak, post, or appear publicly is a signal. We track their calendars and look for natural touchpoint opportunities.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Executive</w:t>
            </w:r>
          </w:p>
        </w:tc>
        <w:tc>
          <w:tcPr>
            <w:tcW w:type="dxa" w:w="63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we track them</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Jeff Dudan (Founder/CEO)</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Family office, lower public profile. Monitor for capital-event signals.</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Zack Dudan (COO)</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Limited public visibility.</w:t>
            </w:r>
          </w:p>
        </w:tc>
      </w:tr>
    </w:tbl>
    <w:p>
      <w:pPr>
        <w:spacing w:after="100" w:before="200"/>
      </w:pPr>
      <w:r>
        <w:rPr>
          <w:rFonts w:ascii="Arial" w:cs="Arial" w:eastAsia="Arial" w:hAnsi="Arial"/>
          <w:b/>
          <w:bCs/>
          <w:color w:val="1A2B3C"/>
          <w:sz w:val="22"/>
          <w:szCs w:val="22"/>
        </w:rPr>
        <w:t xml:space="preserve">Specific tactics by channel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6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My read for HomeFront Brands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LinkedIn</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Light-touch monitoring only. Avoid heavy engagement until Q3/Q4 signals improve.</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Press / earned media</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Hold for now. Re-evaluate when posture shifts to active.</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Challenge coin / branded</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Hold for now. Re-evaluate when posture shifts to active.</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Inbound franchisee signal</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Watch Unhappy Franchisee forum for sentiment shifts. Any positive franchisee-level signals trigger reassessment.</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Mutual connection mapping</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Dudan Group connections via franchise industry. Hold mapping until active engagement decision.</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What I'd land for marketing</w:t>
            </w:r>
          </w:p>
          <w:p>
            <w:r>
              <w:rPr>
                <w:rFonts w:ascii="Arial" w:cs="Arial" w:eastAsia="Arial" w:hAnsi="Arial"/>
                <w:sz w:val="22"/>
                <w:szCs w:val="22"/>
              </w:rPr>
              <w:t xml:space="preserve">Marketing teammates owns marketing execution. My read is we should be running 3-4 of these channels at any given time across each P1 — not all 7 channels for every target. The framework helps us pick the right combination given the warm path status, the engagement window, and what we already know about each franchisor's culture.</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Engagement scorecard — what we're learning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section exists</w:t>
            </w:r>
          </w:p>
          <w:p>
            <w:r>
              <w:rPr>
                <w:rFonts w:ascii="Arial" w:cs="Arial" w:eastAsia="Arial" w:hAnsi="Arial"/>
                <w:sz w:val="22"/>
                <w:szCs w:val="22"/>
              </w:rPr>
              <w:t xml:space="preserve">This is where we capture what actually happens when we engage HomeFront Brands. Every call, every LinkedIn touch, every signal — short note, what landed, what didn't, and what we change as a result. We test our assumptions on the live target, then update the rest of this package based on what we find. The package gets smarter as we go.</w:t>
            </w:r>
          </w:p>
        </w:tc>
      </w:tr>
    </w:tbl>
    <w:p>
      <w:pPr>
        <w:pStyle w:val="Heading2"/>
        <w:spacing w:after="140" w:before="280"/>
      </w:pPr>
      <w:r>
        <w:rPr>
          <w:rFonts w:ascii="Arial" w:cs="Arial" w:eastAsia="Arial" w:hAnsi="Arial"/>
          <w:b/>
          <w:bCs/>
          <w:color w:val="185FA5"/>
          <w:sz w:val="26"/>
          <w:szCs w:val="26"/>
        </w:rPr>
        <w:t xml:space="preserve">Package updates triggered by learnings</w:t>
      </w:r>
    </w:p>
    <w:p>
      <w:pPr>
        <w:spacing w:after="80" w:before="80"/>
      </w:pPr>
      <w:r>
        <w:rPr>
          <w:rFonts w:ascii="Arial" w:cs="Arial" w:eastAsia="Arial" w:hAnsi="Arial"/>
          <w:sz w:val="22"/>
          <w:szCs w:val="22"/>
        </w:rPr>
        <w:t xml:space="preserve">When a learning changes our approach, we update the relevant section of this package and note it here. Keeps the package live.</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6580"/>
      </w:tblGrid>
      <w:tr>
        <w:trPr>
          <w:tblHeader/>
        </w:trPr>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Date</w:t>
            </w:r>
          </w:p>
        </w:tc>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Section updated</w:t>
            </w:r>
          </w:p>
        </w:tc>
        <w:tc>
          <w:tcPr>
            <w:tcW w:type="dxa" w:w="65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changed</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How I plan to use this</w:t>
            </w:r>
          </w:p>
          <w:p>
            <w:r>
              <w:rPr>
                <w:rFonts w:ascii="Arial" w:cs="Arial" w:eastAsia="Arial" w:hAnsi="Arial"/>
                <w:sz w:val="22"/>
                <w:szCs w:val="22"/>
              </w:rPr>
              <w:t xml:space="preserve">My read is the readiness package isn't finished when we send it — it's a starting point. After every meaningful interaction with HomeFront Brands, I'll capture what we learned here. Before we move to the next P1, we'll review what worked and what didn't, and bring those lessons forward. The team's tribal knowledge fills in the gaps that research couldn't.</w:t>
            </w:r>
          </w:p>
        </w:tc>
      </w:tr>
    </w:tbl>
    <w:p>
      <w:pPr>
        <w:spacing w:after="80" w:before="200"/>
        <w:jc w:val="center"/>
      </w:pPr>
      <w:r>
        <w:rPr>
          <w:rFonts w:ascii="Arial" w:cs="Arial" w:eastAsia="Arial" w:hAnsi="Arial"/>
          <w:i/>
          <w:iCs/>
          <w:color w:val="888780"/>
          <w:sz w:val="18"/>
          <w:szCs w:val="18"/>
        </w:rPr>
        <w:t xml:space="preserve">— End of document —</w:t>
      </w:r>
    </w:p>
    <w:p>
      <w:pPr>
        <w:spacing w:after="40" w:before="40"/>
        <w:jc w:val="center"/>
      </w:pPr>
      <w:r>
        <w:rPr>
          <w:rFonts w:ascii="Arial" w:cs="Arial" w:eastAsia="Arial" w:hAnsi="Arial"/>
          <w:i/>
          <w:iCs/>
          <w:color w:val="888780"/>
          <w:sz w:val="16"/>
          <w:szCs w:val="16"/>
        </w:rPr>
        <w:t xml:space="preserve">Velocity GTM Co LLC  ·  HomeFront Brands GTM Engagement Readiness  ·  May 4,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780"/>
        <w:sz w:val="16"/>
        <w:szCs w:val="16"/>
      </w:rPr>
      <w:t xml:space="preserve">Velocity GTM Co LLC  ·  May 4, 2026  ·  Page </w:t>
    </w:r>
    <w:r>
      <w:rPr>
        <w:rFonts w:ascii="Arial" w:cs="Arial" w:eastAsia="Arial" w:hAnsi="Arial"/>
        <w:color w:val="8887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780"/>
        <w:sz w:val="16"/>
        <w:szCs w:val="16"/>
      </w:rPr>
      <w:t xml:space="preserve">HOMEFRONT BRANDS · GTM ENGAGEMENT READINESS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A2B3C"/>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85FA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HomeFront Brands — GTM Engagement Readiness</dc:title>
  <dc:creator>Velocity GTM Co LLC</dc:creator>
  <cp:lastModifiedBy>Un-named</cp:lastModifiedBy>
  <cp:revision>1</cp:revision>
  <dcterms:created xsi:type="dcterms:W3CDTF">2026-04-27T19:00:08.223Z</dcterms:created>
  <dcterms:modified xsi:type="dcterms:W3CDTF">2026-04-27T19:00:08.224Z</dcterms:modified>
</cp:coreProperties>
</file>

<file path=docProps/custom.xml><?xml version="1.0" encoding="utf-8"?>
<Properties xmlns="http://schemas.openxmlformats.org/officeDocument/2006/custom-properties" xmlns:vt="http://schemas.openxmlformats.org/officeDocument/2006/docPropsVTypes"/>
</file>