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PREMIUM SERVICE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#6 · GREENFIELD-OPEN · Score 59.0</w:t>
      </w:r>
    </w:p>
    <w:p>
      <w:pPr>
        <w:spacing w:after="240" w:before="0"/>
        <w:jc w:val="center"/>
      </w:pPr>
      <w:r>
        <w:rPr>
          <w:rFonts w:ascii="Arial" w:cs="Arial" w:eastAsia="Arial" w:hAnsi="Arial"/>
          <w:i/>
          <w:iCs/>
          <w:color w:val="888780"/>
          <w:sz w:val="20"/>
          <w:szCs w:val="20"/>
        </w:rPr>
        <w:t xml:space="preserve">Pilot FSM status · RooterMan = 70% of network · franchisor financial distress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PSB sits at rank #6</w:t>
            </w:r>
          </w:p>
          <w:p>
            <w:r>
              <w:rPr>
                <w:rFonts w:ascii="Arial" w:cs="Arial" w:eastAsia="Arial" w:hAnsi="Arial"/>
                <w:sz w:val="22"/>
                <w:szCs w:val="22"/>
              </w:rPr>
              <w:t xml:space="preserve">PSB came in at #4 with a score of 56, but the revenue rule deprioritizes them against Neighborly and Authority. This one is genuinely different than the targets ahead of it. PSB's own FDD says they are 'pilot-testing a tech solution' — there's no portfolio FSM here yet. RooterMan is 70% of the network at 720-750 locations, so any PSB play is really a RooterMan play. The risk I want to flag: RooterMan's 2025 FDD shows the parent at a $5.8M members' deficit, net losses in both 2023 and 2024, and 15% unit churn in 2024. My read is the franchisor can't credibly fund a portfolio-wide rollout in that state, which moves us from a mandate-down pitch to a franchisee-up pitch.</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PSB is not a single-vendor displacement like Empower. There is no portfolio-wide FSM here — just a pilot.</w:t>
      </w:r>
    </w:p>
    <w:p>
      <w:pPr>
        <w:pStyle w:val="ListParagraph"/>
        <w:numPr>
          <w:ilvl w:val="0"/>
          <w:numId w:val="2"/>
        </w:numPr>
        <w:spacing w:after="40" w:before="40"/>
      </w:pPr>
      <w:r>
        <w:rPr>
          <w:rFonts w:ascii="Arial" w:cs="Arial" w:eastAsia="Arial" w:hAnsi="Arial"/>
          <w:sz w:val="22"/>
          <w:szCs w:val="22"/>
        </w:rPr>
        <w:t xml:space="preserve">RooterMan is 70% of the network. Any PSB strategy is effectively a RooterMan strategy.</w:t>
      </w:r>
    </w:p>
    <w:p>
      <w:pPr>
        <w:pStyle w:val="ListParagraph"/>
        <w:numPr>
          <w:ilvl w:val="0"/>
          <w:numId w:val="2"/>
        </w:numPr>
        <w:spacing w:after="40" w:before="40"/>
      </w:pPr>
      <w:r>
        <w:rPr>
          <w:rFonts w:ascii="Arial" w:cs="Arial" w:eastAsia="Arial" w:hAnsi="Arial"/>
          <w:sz w:val="22"/>
          <w:szCs w:val="22"/>
        </w:rPr>
        <w:t xml:space="preserve">Parent has a $5.8M deficit and 15% RooterMan churn. My read is franchisor-level commitments are unlikely in this state.</w:t>
      </w:r>
    </w:p>
    <w:p>
      <w:pPr>
        <w:pStyle w:val="ListParagraph"/>
        <w:numPr>
          <w:ilvl w:val="0"/>
          <w:numId w:val="2"/>
        </w:numPr>
        <w:spacing w:after="40" w:before="40"/>
      </w:pPr>
      <w:r>
        <w:rPr>
          <w:rFonts w:ascii="Arial" w:cs="Arial" w:eastAsia="Arial" w:hAnsi="Arial"/>
          <w:sz w:val="22"/>
          <w:szCs w:val="22"/>
        </w:rPr>
        <w:t xml:space="preserve">I had Nesto wrong in earlier notes. It's not FSM — it's a customer loyalty play in Flick's own words. Corrected here.</w:t>
      </w:r>
    </w:p>
    <w:p>
      <w:pPr>
        <w:pStyle w:val="ListParagraph"/>
        <w:numPr>
          <w:ilvl w:val="0"/>
          <w:numId w:val="2"/>
        </w:numPr>
        <w:spacing w:after="40" w:before="40"/>
      </w:pPr>
      <w:r>
        <w:rPr>
          <w:rFonts w:ascii="Arial" w:cs="Arial" w:eastAsia="Arial" w:hAnsi="Arial"/>
          <w:sz w:val="22"/>
          <w:szCs w:val="22"/>
        </w:rPr>
        <w:t xml:space="preserve">Opportunity angle: ServiceBridge as a franchisee retention lever. PSB has a reason to welcome a partner that reduces their 15% annual churn.</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9</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website + Feb 2026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locations (actual)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~1,000-1,050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Sum of 2024-2025 FDD counts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RooterMan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720-750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Franchise Direct 2024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360° Painting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86 franchisees / 102 businesses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2025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ProLift Garage Doors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72-94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2024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Maid Right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29-44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2024-2025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'Pilot-testing' per own FDD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FDD direct quote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at any PSB brand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Exhaustive search</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ServiceTitan at any PSB brand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 partnership announcement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Parent members' deficit (2024)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$5.8M+</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RooterMan 2025 FDD financials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RooterMan 2024 unit churn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15% / 100+ units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RooterMan 2025 FDD Item 20</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CEO/Founder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Paul Flick</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press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Roxanne Conrad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press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Susquehanna Private Capital</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85%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RooterMan + home services dominate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PSB — franchisor-level ROI model</w:t>
      </w:r>
    </w:p>
    <w:p>
      <w:pPr>
        <w:spacing w:after="80" w:before="80"/>
      </w:pPr>
      <w:r>
        <w:rPr>
          <w:rFonts w:ascii="Arial" w:cs="Arial" w:eastAsia="Arial" w:hAnsi="Arial"/>
          <w:sz w:val="22"/>
          <w:szCs w:val="22"/>
        </w:rPr>
        <w:t xml:space="preserve">The model is straightforward — if ServiceBridge is adopted across PSB's network, what does that do to PSB's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4,500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2024-2025 FDDs (RooterMan 720-750, 360° Painting 86, ProLift 72-94, Maid Right 29-44)</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$3.60M/yr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4,500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$2.59M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$36.0M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$134,730</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$134,730</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$134,730</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$269,460</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$134,730</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$404,190</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$336,825 and 3-year cumulative reaches $1,010,475.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PSB — our conservative working baseline — franchisee-level exit value creation is ~$36M (10% penetration × $8K/tech EBITDA × 10x multiple). 3-year cumulative ServiceBridge investment is ~$404.19K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PSB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450</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$3.6M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$36M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1,125</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$9.0M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$90M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4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#6 of 7  (GREENFIELD-OPEN)</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PSB leadership stable. Flick CEO long-tenured. Conrad known contact at PSB but not new role.</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PSB target confirmed at FCXC or other in-window event.</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PSB 2025 FDD says they are 'pilot-testing a tech solution' — weak buying-mode signal but uncoordinated and franchisor-distress-limited.</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PSB or Susquehanna Private Capital. GPSI team mapping needed but lower confidence than KKR/Apax.</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Pilot-testing language present, but franchisor's $5.8M deficit + 15% RooterMan churn means franchisor-level commitments unlikely. Bottom-up RooterMan path is the actual urgency, not top-down PSB.</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PSB this week</w:t>
            </w:r>
          </w:p>
          <w:p>
            <w:r>
              <w:rPr>
                <w:rFonts w:ascii="Arial" w:cs="Arial" w:eastAsia="Arial" w:hAnsi="Arial"/>
                <w:sz w:val="22"/>
                <w:szCs w:val="22"/>
              </w:rPr>
              <w:t xml:space="preserve">PSB is mid-term at the franchisor level — the franchisor is in financial distress so top-down engagement won't convert in Phase 1. The real urgency lives in Track 2 P1 (RooterMan operators). Treat PSB as Phase 2 franchisor work.</w:t>
            </w:r>
          </w:p>
        </w:tc>
      </w:tr>
    </w:tbl>
    <w:p>
      <w:pPr>
        <w:spacing w:after="80" w:before="80"/>
      </w:pPr>
      <w:r>
        <w:rPr>
          <w:rFonts w:ascii="Arial" w:cs="Arial" w:eastAsia="Arial" w:hAnsi="Arial"/>
          <w:b w:val="false"/>
          <w:bCs w:val="false"/>
          <w:sz w:val="22"/>
          <w:szCs w:val="22"/>
        </w:rPr>
        <w:t xml:space="preserve">1. Wk 1-2: GPSI team → Susquehanna mapping in same warm path session. Even confirmed-no-path is useful intel.</w:t>
      </w:r>
    </w:p>
    <w:p>
      <w:pPr>
        <w:spacing w:after="80" w:before="80"/>
      </w:pPr>
      <w:r>
        <w:rPr>
          <w:rFonts w:ascii="Arial" w:cs="Arial" w:eastAsia="Arial" w:hAnsi="Arial"/>
          <w:b w:val="false"/>
          <w:bCs w:val="false"/>
          <w:sz w:val="22"/>
          <w:szCs w:val="22"/>
        </w:rPr>
        <w:t xml:space="preserve">2. Wk 2-4: Marketing teammates discovery — who is the PSB 'pilot tech' referenced in the FDD? 30-min discovery call to scope. May reveal incumbent we're displacing.</w:t>
      </w:r>
    </w:p>
    <w:p>
      <w:pPr>
        <w:spacing w:after="80" w:before="80"/>
      </w:pPr>
      <w:r>
        <w:rPr>
          <w:rFonts w:ascii="Arial" w:cs="Arial" w:eastAsia="Arial" w:hAnsi="Arial"/>
          <w:b w:val="false"/>
          <w:bCs w:val="false"/>
          <w:sz w:val="22"/>
          <w:szCs w:val="22"/>
        </w:rPr>
        <w:t xml:space="preserve">3. Wk 3-6: RooterMan Track 2 P1 work runs in parallel — operators are where Phase 1 PSB-related engagement actually happens.</w:t>
      </w:r>
    </w:p>
    <w:p>
      <w:pPr>
        <w:spacing w:after="80" w:before="80"/>
      </w:pPr>
      <w:r>
        <w:rPr>
          <w:rFonts w:ascii="Arial" w:cs="Arial" w:eastAsia="Arial" w:hAnsi="Arial"/>
          <w:b w:val="false"/>
          <w:bCs w:val="false"/>
          <w:sz w:val="22"/>
          <w:szCs w:val="22"/>
        </w:rPr>
        <w:t xml:space="preserve">4. Phase 2: If RooterMan operator engagement produces case-study material, use that to engage PSB corporate in Phase 2 with proof points in hand.</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PSB is ranked 6 of 7 P1 targets — character: GREENFIELD-OPEN</w:t>
            </w:r>
          </w:p>
          <w:p>
            <w:r>
              <w:rPr>
                <w:rFonts w:ascii="Arial" w:cs="Arial" w:eastAsia="Arial" w:hAnsi="Arial"/>
                <w:sz w:val="22"/>
                <w:szCs w:val="22"/>
              </w:rPr>
              <w:t xml:space="preserve">GREENFIELD-OPEN character. No portfolio FSM to displace makes this technically greenfield — but the financial distress and scattered decision authority make it more complicated than Empower's clean 2-person architecture. Score 59.0 (V2 weighted across 7 dimensions — see 'How we scored this' below). PSB sits at #6 because smaller network and lower urgency place it behind larger opportunities.</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RooterMan is the wedge — 70% of PSB's network, 720-750 locations, plumbing is the classic ServiceBridge use case (emergency dispatch, route optimization, truck inventory, customer comms). 15% churn = franchisees in pain = FSM directly relevant.</w:t>
      </w:r>
    </w:p>
    <w:p>
      <w:pPr>
        <w:pStyle w:val="ListParagraph"/>
        <w:numPr>
          <w:ilvl w:val="0"/>
          <w:numId w:val="2"/>
        </w:numPr>
        <w:spacing w:after="40" w:before="40"/>
      </w:pPr>
      <w:r>
        <w:rPr>
          <w:rFonts w:ascii="Arial" w:cs="Arial" w:eastAsia="Arial" w:hAnsi="Arial"/>
          <w:sz w:val="22"/>
          <w:szCs w:val="22"/>
        </w:rPr>
        <w:t xml:space="preserve">RooterMan franchisee-level pitch: $24.95/user/mo ServiceBridge is accessible for price-sensitive operators given network financial distress.</w:t>
      </w:r>
    </w:p>
    <w:p>
      <w:pPr>
        <w:pStyle w:val="ListParagraph"/>
        <w:numPr>
          <w:ilvl w:val="0"/>
          <w:numId w:val="2"/>
        </w:numPr>
        <w:spacing w:after="40" w:before="40"/>
      </w:pPr>
      <w:r>
        <w:rPr>
          <w:rFonts w:ascii="Arial" w:cs="Arial" w:eastAsia="Arial" w:hAnsi="Arial"/>
          <w:sz w:val="22"/>
          <w:szCs w:val="22"/>
        </w:rPr>
        <w:t xml:space="preserve">360 Painting + ProLift + Window Gang are natural second tier — service-vehicle models.</w:t>
      </w:r>
    </w:p>
    <w:p>
      <w:pPr>
        <w:pStyle w:val="ListParagraph"/>
        <w:numPr>
          <w:ilvl w:val="0"/>
          <w:numId w:val="2"/>
        </w:numPr>
        <w:spacing w:after="40" w:before="40"/>
      </w:pPr>
      <w:r>
        <w:rPr>
          <w:rFonts w:ascii="Arial" w:cs="Arial" w:eastAsia="Arial" w:hAnsi="Arial"/>
          <w:sz w:val="22"/>
          <w:szCs w:val="22"/>
        </w:rPr>
        <w:t xml:space="preserve">Maid Right is small (29-44 units) — deprioritize unless rolled in with RooterMan momentum.</w:t>
      </w:r>
    </w:p>
    <w:p>
      <w:pPr>
        <w:pStyle w:val="ListParagraph"/>
        <w:numPr>
          <w:ilvl w:val="0"/>
          <w:numId w:val="2"/>
        </w:numPr>
        <w:spacing w:after="40" w:before="40"/>
      </w:pPr>
      <w:r>
        <w:rPr>
          <w:rFonts w:ascii="Arial" w:cs="Arial" w:eastAsia="Arial" w:hAnsi="Arial"/>
          <w:sz w:val="22"/>
          <w:szCs w:val="22"/>
        </w:rPr>
        <w:t xml:space="preserve">Financial distress = avoid pitching franchisor-level rollout costs. Pitch is franchisee-economics, not CFO EBITDA.</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Paul Flick</w:t>
            </w:r>
          </w:p>
        </w:tc>
        <w:tc>
          <w:tcPr>
            <w:tcW w:w="1900" w:type="dxa"/>
            <w:shd w:val="clear" w:color="auto" w:fill="FFFFFF"/>
          </w:tcPr>
          <w:p>
            <w:pPr>
              <w:spacing w:before="40" w:after="40"/>
            </w:pPr>
            <w:r>
              <w:rPr>
                <w:sz w:val="18"/>
              </w:rPr>
              <w:t xml:space="preserve">Founder &amp; CEO</w:t>
            </w:r>
          </w:p>
        </w:tc>
        <w:tc>
          <w:tcPr>
            <w:tcW w:w="1900" w:type="dxa"/>
            <w:shd w:val="clear" w:color="auto" w:fill="FFFFFF"/>
          </w:tcPr>
          <w:p>
            <w:pPr>
              <w:spacing w:before="40" w:after="40"/>
            </w:pPr>
            <w:r>
              <w:rPr>
                <w:color w:val="185FA5"/>
                <w:sz w:val="16"/>
              </w:rPr>
              <w:t xml:space="preserve">paul-e-flick-0a15186</w:t>
            </w:r>
          </w:p>
        </w:tc>
        <w:tc>
          <w:tcPr>
            <w:tcW w:w="1700" w:type="dxa"/>
            <w:shd w:val="clear" w:color="auto" w:fill="FFFFFF"/>
          </w:tcPr>
          <w:p>
            <w:pPr>
              <w:spacing w:before="40" w:after="40"/>
            </w:pPr>
            <w:r>
              <w:rPr>
                <w:sz w:val="16"/>
              </w:rPr>
              <w:t xml:space="preserve">University of Windsor BA Political Science 1988-1991 ⭐ Canadian. Coca-Cola Bottling Sales/</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Roxanne Conrad</w:t>
            </w:r>
          </w:p>
        </w:tc>
        <w:tc>
          <w:tcPr>
            <w:tcW w:w="1900" w:type="dxa"/>
            <w:shd w:val="clear" w:color="auto" w:fill="FFFFFF"/>
          </w:tcPr>
          <w:p>
            <w:pPr>
              <w:spacing w:before="40" w:after="40"/>
            </w:pPr>
            <w:r>
              <w:rPr>
                <w:sz w:val="18"/>
              </w:rPr>
              <w:t xml:space="preserve">COO</w:t>
            </w:r>
          </w:p>
        </w:tc>
        <w:tc>
          <w:tcPr>
            <w:tcW w:w="1900" w:type="dxa"/>
            <w:shd w:val="clear" w:color="auto" w:fill="FFFFFF"/>
          </w:tcPr>
          <w:p>
            <w:pPr>
              <w:spacing w:before="40" w:after="40"/>
            </w:pPr>
            <w:r>
              <w:rPr>
                <w:color w:val="185FA5"/>
                <w:sz w:val="16"/>
              </w:rPr>
              <w:t xml:space="preserve">roxanneconrad</w:t>
            </w:r>
          </w:p>
        </w:tc>
        <w:tc>
          <w:tcPr>
            <w:tcW w:w="1700" w:type="dxa"/>
            <w:shd w:val="clear" w:color="auto" w:fill="FFFFFF"/>
          </w:tcPr>
          <w:p>
            <w:pPr>
              <w:spacing w:before="40" w:after="40"/>
            </w:pPr>
            <w:r>
              <w:rPr>
                <w:sz w:val="16"/>
              </w:rPr>
              <w:t xml:space="preserve">Former 360 Painting franchisee = practitioner background, no degree confirmed</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Gabe Colon</w:t>
            </w:r>
          </w:p>
        </w:tc>
        <w:tc>
          <w:tcPr>
            <w:tcW w:w="1900" w:type="dxa"/>
            <w:shd w:val="clear" w:color="auto" w:fill="FFFFFF"/>
          </w:tcPr>
          <w:p>
            <w:pPr>
              <w:spacing w:before="40" w:after="40"/>
            </w:pPr>
            <w:r>
              <w:rPr>
                <w:sz w:val="18"/>
              </w:rPr>
              <w:t xml:space="preserve">EVP Performance</w:t>
            </w:r>
          </w:p>
        </w:tc>
        <w:tc>
          <w:tcPr>
            <w:tcW w:w="1900" w:type="dxa"/>
            <w:shd w:val="clear" w:color="auto" w:fill="FFFFFF"/>
          </w:tcPr>
          <w:p>
            <w:pPr>
              <w:spacing w:before="40" w:after="40"/>
            </w:pPr>
            <w:r>
              <w:rPr>
                <w:color w:val="185FA5"/>
                <w:sz w:val="16"/>
              </w:rPr>
              <w:t xml:space="preserve">gabecolon</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David Raymond</w:t>
            </w:r>
          </w:p>
        </w:tc>
        <w:tc>
          <w:tcPr>
            <w:tcW w:w="1900" w:type="dxa"/>
            <w:shd w:val="clear" w:color="auto" w:fill="FFFFFF"/>
          </w:tcPr>
          <w:p>
            <w:pPr>
              <w:spacing w:before="40" w:after="40"/>
            </w:pPr>
            <w:r>
              <w:rPr>
                <w:sz w:val="18"/>
              </w:rPr>
              <w:t xml:space="preserve">PSB COO + ProLift VP Operations + Rubbish Works/ProLift dual</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Justin Penard</w:t>
            </w:r>
          </w:p>
        </w:tc>
        <w:tc>
          <w:tcPr>
            <w:tcW w:w="1900" w:type="dxa"/>
            <w:shd w:val="clear" w:color="auto" w:fill="FFFFFF"/>
          </w:tcPr>
          <w:p>
            <w:pPr>
              <w:spacing w:before="40" w:after="40"/>
            </w:pPr>
            <w:r>
              <w:rPr>
                <w:sz w:val="18"/>
              </w:rPr>
              <w:t xml:space="preserve">Grout Medic VP Franchise Dev</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Travis Nicolette MBA</w:t>
            </w:r>
          </w:p>
        </w:tc>
        <w:tc>
          <w:tcPr>
            <w:tcW w:w="1900" w:type="dxa"/>
            <w:shd w:val="clear" w:color="auto" w:fill="FFFFFF"/>
          </w:tcPr>
          <w:p>
            <w:pPr>
              <w:spacing w:before="40" w:after="40"/>
            </w:pPr>
            <w:r>
              <w:rPr>
                <w:sz w:val="18"/>
              </w:rPr>
              <w:t xml:space="preserve">NEW ProLift Brand Pres</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PSB's FSM landscape</w:t>
            </w:r>
          </w:p>
          <w:p>
            <w:r>
              <w:rPr>
                <w:rFonts w:ascii="Arial" w:cs="Arial" w:eastAsia="Arial" w:hAnsi="Arial"/>
                <w:sz w:val="22"/>
                <w:szCs w:val="22"/>
              </w:rPr>
              <w:t xml:space="preserve">No portfolio-wide FSM mandate — PSB's own Franchise Disclosure Document (FDD — the legal document franchisors file annually that lists required vendor costs and financial details) describes 'pilot-testing a tech solution.' RooterMan is 70% of the network. Network-level financial distress ($5.8M parent deficit, 15% RooterMan churn) means franchisor-level rollout funding is unlikely. The pitch shifts from displacement to franchisee-up adoption, particularly through retention angles. Nesto is customer loyalty (not FSM) — earlier confusion in our notes is corrected.</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RooterMan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 by operator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70% of PSB network at 720-750 locations. Plumbing operators often run ServiceTitan, FieldEdge, Housecall Pro, or homegrown. Highly fragmented. Volume play.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360 Painting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vertical. Lower platform stickiness.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ProLift Garage Doors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Garage door specialty. Vertical-specific tools may be embedded.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Maid Right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Cleaning vertical. ServiceMonster or similar likely.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Grout Medic</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Tile/grout specialty. Small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Renew Crew</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Outdoor cleaning. Small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House Doctors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Handyman. Open.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Window Gang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cleaning. Smaller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Designery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Kitchen/bath design. Smaller 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Nesto (PSB's own)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Customer loyalty platform — NOT FSM</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 had Nesto wrong in earlier notes. Per Flick's own words, it's a customer loyalty play, not field service management. Corrected here.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PSB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Paul Flick has IFA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Flick, Conrad, or Nellen attended/spoke. Look for any signals on the 'pilot tech' they're testing.</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Service World Expo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9-12, 2026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10,000+ residential contractors including plumbing operators. Best non-franchisor event for RooterMan operator outreach (70% of PSB network). ServiceBridge booth + targeted franchisee conversations.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PHCC CONNECT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19-22, 2026 — Hilton Milwaukee City Center</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Plumbing-Heating-Cooling Contractors Association. RooterMan operators attend. Vertical-specific channel into the franchisee base.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RooterMan operators (some have 5-10+ territories) attend. Better entry than franchisor-level given PSB's financial distress.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360 Painting franchisees attend. Vertical-specific channel.</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Flick (CEO) typical attendee. Watch for any signals on PSB's pilot tech vendor identity.</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franchise development presence. Good intel-gathering on PSB's growth narrative given financial distress.</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Paul Flick (CEO/Founder)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IFA presence. Active in franchise industry media.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Roxanne Conrad (COO)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Women We Admire 2025 list. Building public profile.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Vivi Nellen (VP)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 development conference visibility.</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PSB</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Engage with Conrad and Nellen content. Avoid leaning too heavily on franchisor-level economics given financial distress — emphasize franchisee retention and unit-level economics.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Franchisee-level case study in plumbing trade publications (Plumbing &amp; Mechanical, Contractor Magazine). Reach RooterMan franchisees directly through their trade channels.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Lower-fit at franchisor level given financial dynamics. Better fit at franchisee level with RooterMan multi-territory operators.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RooterMan operators (720-750 locations) are the volume play. Plumbing trade vertical = high franchisee receptivity to FSM tools that improve unit economics. Most powerful inbound channel.</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Susquehanna network, plumbing industry connections, franchise industry community. Marketing teammates likely has direct RooterMan/360 Painting/ProLift franchisee touchpoints today.</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PSB.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PSB,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PSB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PSB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PSB — GTM Engagement Readiness</dc:title>
  <dc:creator>Velocity GTM Co LLC</dc:creator>
  <cp:lastModifiedBy>Un-named</cp:lastModifiedBy>
  <cp:revision>1</cp:revision>
  <dcterms:created xsi:type="dcterms:W3CDTF">2026-04-27T19:00:07.726Z</dcterms:created>
  <dcterms:modified xsi:type="dcterms:W3CDTF">2026-04-27T19:00:07.726Z</dcterms:modified>
</cp:coreProperties>
</file>

<file path=docProps/custom.xml><?xml version="1.0" encoding="utf-8"?>
<Properties xmlns="http://schemas.openxmlformats.org/officeDocument/2006/custom-properties" xmlns:vt="http://schemas.openxmlformats.org/officeDocument/2006/docPropsVTypes"/>
</file>