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RESIBRANDS</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#4 · FAST-CYCLE · Score 60.2</w:t>
      </w:r>
    </w:p>
    <w:p>
      <w:pPr>
        <w:spacing w:after="240" w:before="0"/>
        <w:jc w:val="center"/>
      </w:pPr>
      <w:r>
        <w:rPr>
          <w:rFonts w:ascii="Arial" w:cs="Arial" w:eastAsia="Arial" w:hAnsi="Arial"/>
          <w:i/>
          <w:iCs/>
          <w:color w:val="888780"/>
          <w:sz w:val="20"/>
          <w:szCs w:val="20"/>
        </w:rPr>
        <w:t xml:space="preserve">Single-decision-maker close · smaller scale · fast yes/no cycle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ResiBrands sits at rank #4</w:t>
            </w:r>
          </w:p>
          <w:p>
            <w:r>
              <w:rPr>
                <w:rFonts w:ascii="Arial" w:cs="Arial" w:eastAsia="Arial" w:hAnsi="Arial"/>
                <w:sz w:val="22"/>
                <w:szCs w:val="22"/>
              </w:rPr>
              <w:t xml:space="preserve">ResiBrands scored 59, actually higher than Authority and Neighborly on raw score, but the revenue rule deprioritized them to #5. Two engagement targets confirmed: Steven Montgomery (founder/CEO single decision authority) AND Codie Sanchez (co-owner + founder/CEO Contrarian Thinking, confirmed IFA26 speaker — substantial public profile). At ~$76K Year 1 @ 10% baseline / ~$191K @ 25% stretch, they're half the scale of PSB. The shape of this one is different than the strategic targets — ResiBrands is a tactical close, not a platform play. The advantage is speed. Steven Montgomery is founder/CEO with single-decision authority, and ResiConnect is front-end only. The FSM layer is franchisee-choice, so no displacement fight.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Single decision-maker in Steven Montgomery. Fast yes/no cycle.</w:t>
      </w:r>
    </w:p>
    <w:p>
      <w:pPr>
        <w:pStyle w:val="ListParagraph"/>
        <w:numPr>
          <w:ilvl w:val="0"/>
          <w:numId w:val="2"/>
        </w:numPr>
        <w:spacing w:after="40" w:before="40"/>
      </w:pPr>
      <w:r>
        <w:rPr>
          <w:rFonts w:ascii="Arial" w:cs="Arial" w:eastAsia="Arial" w:hAnsi="Arial"/>
          <w:sz w:val="22"/>
          <w:szCs w:val="22"/>
        </w:rPr>
        <w:t xml:space="preserve">ResiConnect is front-end only, not FSM. Franchisee-choice backend means no displacement fight.</w:t>
      </w:r>
    </w:p>
    <w:p>
      <w:pPr>
        <w:pStyle w:val="ListParagraph"/>
        <w:numPr>
          <w:ilvl w:val="0"/>
          <w:numId w:val="2"/>
        </w:numPr>
        <w:spacing w:after="40" w:before="40"/>
      </w:pPr>
      <w:r>
        <w:rPr>
          <w:rFonts w:ascii="Arial" w:cs="Arial" w:eastAsia="Arial" w:hAnsi="Arial"/>
          <w:sz w:val="22"/>
          <w:szCs w:val="22"/>
        </w:rPr>
        <w:t xml:space="preserve">That 1 Painter at ~380 units is where I think we wedge in.</w:t>
      </w:r>
    </w:p>
    <w:p>
      <w:pPr>
        <w:pStyle w:val="ListParagraph"/>
        <w:numPr>
          <w:ilvl w:val="0"/>
          <w:numId w:val="2"/>
        </w:numPr>
        <w:spacing w:after="40" w:before="40"/>
      </w:pPr>
      <w:r>
        <w:rPr>
          <w:rFonts w:ascii="Arial" w:cs="Arial" w:eastAsia="Arial" w:hAnsi="Arial"/>
          <w:sz w:val="22"/>
          <w:szCs w:val="22"/>
        </w:rPr>
        <w:t xml:space="preserve">Trivest plus angel ownership gives us different exit dynamics than standard PE.</w:t>
      </w:r>
    </w:p>
    <w:p>
      <w:pPr>
        <w:pStyle w:val="ListParagraph"/>
        <w:numPr>
          <w:ilvl w:val="0"/>
          <w:numId w:val="2"/>
        </w:numPr>
        <w:spacing w:after="40" w:before="40"/>
      </w:pPr>
      <w:r>
        <w:rPr>
          <w:rFonts w:ascii="Arial" w:cs="Arial" w:eastAsia="Arial" w:hAnsi="Arial"/>
          <w:sz w:val="22"/>
          <w:szCs w:val="22"/>
        </w:rPr>
        <w:t xml:space="preserve">My read is we run this in parallel with Five Star — both are small, decision-maker-accessible, tactical pipeline fills.</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website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That 1 Painter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~380 units</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FDD aggregator data</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Tech count (network)</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~2,550 mid-point (range 1,900-3,300)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Vertical-calibrated from verified location counts × industry-typical techs/location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25</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Portfolio FSM (front-end)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ResiConnect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FSM layer (backend)</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Franchisee-choice (likely)</w:t>
            </w:r>
          </w:p>
        </w:tc>
        <w:tc>
          <w:tcPr>
            <w:tcW w:type="dxa" w:w="14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8"/>
                <w:szCs w:val="18"/>
              </w:rPr>
              <w:t xml:space="preserve">🔴 UNCONFIRMED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Not publicly disclosed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Founder/CEO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Steven Montgomery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ResiBrands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 of decision-makers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 (Montgomery)</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Single founder authority</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Trivest + angel</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Trivest portfolio</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No formal GPO</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Web research (no procurement program identified)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95%</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name reflects strategy ("Resi" = residential)</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ResiBrands — franchisor-level ROI model</w:t>
      </w:r>
    </w:p>
    <w:p>
      <w:pPr>
        <w:spacing w:after="80" w:before="80"/>
      </w:pPr>
      <w:r>
        <w:rPr>
          <w:rFonts w:ascii="Arial" w:cs="Arial" w:eastAsia="Arial" w:hAnsi="Arial"/>
          <w:sz w:val="22"/>
          <w:szCs w:val="22"/>
        </w:rPr>
        <w:t xml:space="preserve">The model is straightforward — if ServiceBridge is adopted across ResiBrands's network, what does that do to ResiBrands's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2,550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FDDs</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$2.04M/yr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2,550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$0.12M/yr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$1.47M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$20.4M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$76,347</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$152,694</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$76,347</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$229,041</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$190,868 and 3-year cumulative reaches $572,604.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ResiBrands — our conservative working baseline — franchisee-level exit value creation is ~$20M (10% penetration × $8K/tech EBITDA × 10x multiple). 3-year cumulative ServiceBridge investment is ~$229.04K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ResiBrands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255</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$2.0M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$20M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638</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$5.1M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$51M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32"/>
                <w:szCs w:val="32"/>
              </w:rPr>
              <w:t xml:space="preserve">6 / 15</w:t>
            </w:r>
          </w:p>
        </w:tc>
        <w:tc>
          <w:tcPr>
            <w:tcW w:type="dxa" w:w="312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MID-TERM (Wks 10-13+)</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#4 of 7  (FAST-CYCLE)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Montgomery still founder/CEO. Sanchez investor since 2022 (Trivest deal). No fresh tech-mandating transition.</w:t>
            </w:r>
          </w:p>
        </w:tc>
      </w:tr>
      <w:tr>
        <w:tc>
          <w:tcPr>
            <w:tcW w:type="dxa" w:w="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20"/>
                <w:szCs w:val="20"/>
              </w:rPr>
              <w:t xml:space="preserve">0/3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ResiBrands target confirmed at FCXC. ResiBrands ecosystem more active in Sanchez's Contrarian Thinking content channels than industry events.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Sanchez ecosystem highly active publicly (Contrarian Thinking platform). Montgomery operates founder-driven decision style. Brand momentum signals 'in build mode' more than 'in evaluation mode.'</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2/3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Sanchez accessibility via Contrarian Thinking ecosystem is a unique access vector — content collaboration angle, podcast appearance opportunity. Time-bound to her audience attention cycles.</w:t>
            </w:r>
          </w:p>
        </w:tc>
      </w:tr>
      <w:tr>
        <w:tc>
          <w:tcPr>
            <w:tcW w:type="dxa" w:w="6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1/3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No specific public RFP or vendor-dissatisfaction signal. Founder-led brands tend to decide quickly once they engage but don't show formal evaluation patterns publicly.</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ResiBrands this week</w:t>
            </w:r>
          </w:p>
          <w:p>
            <w:r>
              <w:rPr>
                <w:rFonts w:ascii="Arial" w:cs="Arial" w:eastAsia="Arial" w:hAnsi="Arial"/>
                <w:sz w:val="22"/>
                <w:szCs w:val="22"/>
              </w:rPr>
              <w:t xml:space="preserve">ResiBrands sits in Phase 1 'opportunistic' status — we don't proactively activate, but Sanchez ecosystem is volatile and an opening could materialize. Stay alert; don't burn capacity proactively engaging.</w:t>
            </w:r>
          </w:p>
        </w:tc>
      </w:tr>
    </w:tbl>
    <w:p>
      <w:pPr>
        <w:spacing w:after="80" w:before="80"/>
      </w:pPr>
      <w:r>
        <w:rPr>
          <w:rFonts w:ascii="Arial" w:cs="Arial" w:eastAsia="Arial" w:hAnsi="Arial"/>
          <w:b w:val="false"/>
          <w:bCs w:val="false"/>
          <w:sz w:val="22"/>
          <w:szCs w:val="22"/>
        </w:rPr>
        <w:t xml:space="preserve">1. Wk 1-2: GPSI team → Trivest mapping in same warm path session. Sanchez's Contrarian Thinking ecosystem may have warm-intro overlap with GPSI team's network.</w:t>
      </w:r>
    </w:p>
    <w:p>
      <w:pPr>
        <w:spacing w:after="80" w:before="80"/>
      </w:pPr>
      <w:r>
        <w:rPr>
          <w:rFonts w:ascii="Arial" w:cs="Arial" w:eastAsia="Arial" w:hAnsi="Arial"/>
          <w:b w:val="false"/>
          <w:bCs w:val="false"/>
          <w:sz w:val="22"/>
          <w:szCs w:val="22"/>
        </w:rPr>
        <w:t xml:space="preserve">2. Wk 2-4: Both planned LinkedIn articles reach Sanchez's audience. Tag her if relevant. Watch for content engagement signals — like, comment, share = activation trigger.</w:t>
      </w:r>
    </w:p>
    <w:p>
      <w:pPr>
        <w:spacing w:after="80" w:before="80"/>
      </w:pPr>
      <w:r>
        <w:rPr>
          <w:rFonts w:ascii="Arial" w:cs="Arial" w:eastAsia="Arial" w:hAnsi="Arial"/>
          <w:b w:val="false"/>
          <w:bCs w:val="false"/>
          <w:sz w:val="22"/>
          <w:szCs w:val="22"/>
        </w:rPr>
        <w:t xml:space="preserve">3. Wk 3-6: Marketing teammates can probe for any existing GPSI relationship at That 1 Painter or Pink's Window Cleaning operators.</w:t>
      </w:r>
    </w:p>
    <w:p>
      <w:pPr>
        <w:spacing w:after="80" w:before="80"/>
      </w:pPr>
      <w:r>
        <w:rPr>
          <w:rFonts w:ascii="Arial" w:cs="Arial" w:eastAsia="Arial" w:hAnsi="Arial"/>
          <w:b w:val="false"/>
          <w:bCs w:val="false"/>
          <w:sz w:val="22"/>
          <w:szCs w:val="22"/>
        </w:rPr>
        <w:t xml:space="preserve">4. Opportunistic: If Sanchez podcast/content collab opportunity surfaces, take it. Otherwise hold for Phase 2.</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5F5F5"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ResiBrands is ranked 4 of 7 P1 targets — character: FAST-CYCLE</w:t>
            </w:r>
          </w:p>
          <w:p>
            <w:r>
              <w:rPr>
                <w:rFonts w:ascii="Arial" w:cs="Arial" w:eastAsia="Arial" w:hAnsi="Arial"/>
                <w:sz w:val="22"/>
                <w:szCs w:val="22"/>
              </w:rPr>
              <w:t xml:space="preserve">FAST-CYCLE character. Scored 60.2 (V2 weighted across 7 dimensions — see 'How we scored this' below) but half the revenue scale of our strategic targets. Good pipeline fill — single-decision-maker, fast cycle, reasonable deal size. Not a platform anchor.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That 1 Painter (~380 units) is the lead wedge — painter franchisees are fleet-enabled and benefit from route optimization. One conversation with Montgomery determines the entire ResiBrands story.</w:t>
      </w:r>
    </w:p>
    <w:p>
      <w:pPr>
        <w:pStyle w:val="ListParagraph"/>
        <w:numPr>
          <w:ilvl w:val="0"/>
          <w:numId w:val="2"/>
        </w:numPr>
        <w:spacing w:after="40" w:before="40"/>
      </w:pPr>
      <w:r>
        <w:rPr>
          <w:rFonts w:ascii="Arial" w:cs="Arial" w:eastAsia="Arial" w:hAnsi="Arial"/>
          <w:sz w:val="22"/>
          <w:szCs w:val="22"/>
        </w:rPr>
        <w:t xml:space="preserve">That 1 Painter multi-franchisee pilot — economics proof in 90 days.</w:t>
      </w:r>
    </w:p>
    <w:p>
      <w:pPr>
        <w:pStyle w:val="ListParagraph"/>
        <w:numPr>
          <w:ilvl w:val="0"/>
          <w:numId w:val="2"/>
        </w:numPr>
        <w:spacing w:after="40" w:before="40"/>
      </w:pPr>
      <w:r>
        <w:rPr>
          <w:rFonts w:ascii="Arial" w:cs="Arial" w:eastAsia="Arial" w:hAnsi="Arial"/>
          <w:sz w:val="22"/>
          <w:szCs w:val="22"/>
        </w:rPr>
        <w:t xml:space="preserve">Roll to other ResiBrands concepts after proof point.</w:t>
      </w:r>
    </w:p>
    <w:p>
      <w:pPr>
        <w:pStyle w:val="ListParagraph"/>
        <w:numPr>
          <w:ilvl w:val="0"/>
          <w:numId w:val="2"/>
        </w:numPr>
        <w:spacing w:after="40" w:before="40"/>
      </w:pPr>
      <w:r>
        <w:rPr>
          <w:rFonts w:ascii="Arial" w:cs="Arial" w:eastAsia="Arial" w:hAnsi="Arial"/>
          <w:sz w:val="22"/>
          <w:szCs w:val="22"/>
        </w:rPr>
        <w:t xml:space="preserve">Positioning: 'ServiceBridge sits behind ResiConnect' — not a replacement, a complement.</w:t>
      </w:r>
    </w:p>
    <w:p>
      <w:pPr>
        <w:pStyle w:val="ListParagraph"/>
        <w:numPr>
          <w:ilvl w:val="0"/>
          <w:numId w:val="2"/>
        </w:numPr>
        <w:spacing w:after="40" w:before="40"/>
      </w:pPr>
      <w:r>
        <w:rPr>
          <w:rFonts w:ascii="Arial" w:cs="Arial" w:eastAsia="Arial" w:hAnsi="Arial"/>
          <w:sz w:val="22"/>
          <w:szCs w:val="22"/>
        </w:rPr>
        <w:t xml:space="preserve">Trivest network + Montgomery's angel investors = potential warm-path leverage points.</w:t>
      </w:r>
    </w:p>
    <w:p>
      <w:pPr>
        <w:pStyle w:val="Heading2"/>
      </w:pPr>
      <w:r>
        <w:t xml:space="preserve">Warm path &amp; contact intel — v15.36 CRM sync</w:t>
      </w:r>
    </w:p>
    <w:p>
      <w:pPr>
        <w:spacing w:before="80" w:after="80"/>
      </w:pPr>
      <w:r>
        <w:rPr>
          <w:i/>
          <w:iCs/>
          <w:color w:val="6B7280"/>
          <w:sz w:val="20"/>
          <w:szCs w:val="20"/>
        </w:rPr>
        <w:t xml:space="preserve">Top contacts plus warm-path status. 🟢 active warm angle · 🟡 status change to verify · 🟣 team assignment.</w:t>
      </w:r>
    </w:p>
    <w:tbl>
      <w:tblPr>
        <w:tblW w:w="900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700"/>
        <w:gridCol w:w="1900"/>
        <w:gridCol w:w="1900"/>
        <w:gridCol w:w="1700"/>
        <w:gridCol w:w="1800"/>
      </w:tblGrid>
      <w:tr>
        <w:trPr>
          <w:tblHeader/>
        </w:trPr>
        <w:tc>
          <w:tcPr>
            <w:tcW w:w="1700" w:type="dxa"/>
            <w:shd w:val="clear" w:color="auto" w:fill="1A2B3C"/>
          </w:tcPr>
          <w:p>
            <w:pPr>
              <w:spacing w:before="60" w:after="60"/>
            </w:pPr>
            <w:r>
              <w:rPr>
                <w:b/>
                <w:bCs/>
                <w:color w:val="FFFFFF"/>
                <w:sz w:val="18"/>
              </w:rPr>
              <w:t>Name</w:t>
            </w:r>
          </w:p>
        </w:tc>
        <w:tc>
          <w:tcPr>
            <w:tcW w:w="1900" w:type="dxa"/>
            <w:shd w:val="clear" w:color="auto" w:fill="1A2B3C"/>
          </w:tcPr>
          <w:p>
            <w:pPr>
              <w:spacing w:before="60" w:after="60"/>
            </w:pPr>
            <w:r>
              <w:rPr>
                <w:b/>
                <w:bCs/>
                <w:color w:val="FFFFFF"/>
                <w:sz w:val="18"/>
              </w:rPr>
              <w:t>Role</w:t>
            </w:r>
          </w:p>
        </w:tc>
        <w:tc>
          <w:tcPr>
            <w:tcW w:w="1900" w:type="dxa"/>
            <w:shd w:val="clear" w:color="auto" w:fill="1A2B3C"/>
          </w:tcPr>
          <w:p>
            <w:pPr>
              <w:spacing w:before="60" w:after="60"/>
            </w:pPr>
            <w:r>
              <w:rPr>
                <w:b/>
                <w:bCs/>
                <w:color w:val="FFFFFF"/>
                <w:sz w:val="18"/>
              </w:rPr>
              <w:t>LinkedIn</w:t>
            </w:r>
          </w:p>
        </w:tc>
        <w:tc>
          <w:tcPr>
            <w:tcW w:w="1700" w:type="dxa"/>
            <w:shd w:val="clear" w:color="auto" w:fill="1A2B3C"/>
          </w:tcPr>
          <w:p>
            <w:pPr>
              <w:spacing w:before="60" w:after="60"/>
            </w:pPr>
            <w:r>
              <w:rPr>
                <w:b/>
                <w:bCs/>
                <w:color w:val="FFFFFF"/>
                <w:sz w:val="18"/>
              </w:rPr>
              <w:t>School</w:t>
            </w:r>
          </w:p>
        </w:tc>
        <w:tc>
          <w:tcPr>
            <w:tcW w:w="1800" w:type="dxa"/>
            <w:shd w:val="clear" w:color="auto" w:fill="1A2B3C"/>
          </w:tcPr>
          <w:p>
            <w:pPr>
              <w:spacing w:before="60" w:after="60"/>
            </w:pPr>
            <w:r>
              <w:rPr>
                <w:b/>
                <w:bCs/>
                <w:color w:val="FFFFFF"/>
                <w:sz w:val="18"/>
              </w:rPr>
              <w:t>Warm-Path Status / Notes</w:t>
            </w:r>
          </w:p>
        </w:tc>
      </w:tr>
    </w:tbl>
    <w:p>
      <w:pPr>
        <w:pStyle w:val="Heading1"/>
      </w:pPr>
      <w:r>
        <w:t xml:space="preserve">📞 Outreach plan &amp; sequencing — IN DEVELOPMENT</w:t>
      </w:r>
    </w:p>
    <w:tbl>
      <w:tblPr>
        <w:tblW w:w="9000" w:type="dxa"/>
        <w:tblBorders>
          <w:top w:val="single" w:sz="4" w:space="0" w:color="D97706"/>
          <w:left w:val="single" w:sz="4" w:space="0" w:color="D97706"/>
          <w:bottom w:val="single" w:sz="4" w:space="0" w:color="D97706"/>
          <w:right w:val="single" w:sz="4" w:space="0" w:color="D97706"/>
        </w:tblBorders>
      </w:tblPr>
      <w:tblGrid>
        <w:gridCol w:w="9000"/>
      </w:tblGrid>
      <w:tr>
        <w:tc>
          <w:tcPr>
            <w:tcW w:w="9000" w:type="dxa"/>
            <w:shd w:val="clear" w:color="auto" w:fill="FEF3C7"/>
          </w:tcPr>
          <w:p>
            <w:pPr>
              <w:spacing w:before="80" w:after="80"/>
            </w:pPr>
            <w:r>
              <w:rPr>
                <w:b/>
                <w:bCs/>
                <w:color w:val="92400E"/>
              </w:rPr>
              <w:t xml:space="preserve">Status: </w:t>
            </w:r>
            <w:r>
              <w:t xml:space="preserve">Working with Becky (GPS Insight Marketing) on a coordinated warm marketing touch plan that sequences outreach against the contacts above using Alumni Crossover v19 warm anchors. Will populate as deliverables land. Live entries in Master CRM v15.36 Engagement Log (#79–83).</w:t>
            </w:r>
          </w:p>
        </w:tc>
      </w:tr>
    </w:tbl>
    <w:p>
      <w:pPr>
        <w:spacing w:before="80" w:after="80"/>
      </w:pPr>
      <w:r>
        <w:rPr>
          <w:b/>
          <w:bCs/>
          <w:color w:val="1A2B3C"/>
        </w:rPr>
        <w:t xml:space="preserve">Inputs needed from GPS Insight team:</w:t>
      </w:r>
    </w:p>
    <w:p>
      <w:pPr>
        <w:spacing w:before="40" w:after="40"/>
        <w:ind w:left="360" w:hanging="360"/>
      </w:pPr>
      <w:r>
        <w:t>• Alumni hits in column J of Alumni Crossover v19 (alma mater matches)</w:t>
      </w:r>
    </w:p>
    <w:p>
      <w:pPr>
        <w:spacing w:before="40" w:after="40"/>
        <w:ind w:left="360" w:hanging="360"/>
      </w:pPr>
      <w:r>
        <w:t>• LinkedIn 1st-degree mutual connections — click each LinkedIn URL above</w:t>
      </w:r>
    </w:p>
    <w:p>
      <w:pPr>
        <w:spacing w:before="40" w:after="40"/>
        <w:ind w:left="360" w:hanging="360"/>
      </w:pPr>
      <w:r>
        <w:t>• Verification of any flagged status changes before sequencing</w:t>
      </w: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ResiBrands's FSM landscape</w:t>
            </w:r>
          </w:p>
          <w:p>
            <w:r>
              <w:rPr>
                <w:rFonts w:ascii="Arial" w:cs="Arial" w:eastAsia="Arial" w:hAnsi="Arial"/>
                <w:sz w:val="22"/>
                <w:szCs w:val="22"/>
              </w:rPr>
              <w:t xml:space="preserve">ResiBrands runs ResiConnect — but this is front-end only (lead routing/customer intake), NOT FSM. The actual field service backend is franchisee-choice across all 5 brands. No displacement fight at the franchisor level. Steven Montgomery has single decision authority — fast yes/no. Tactical close, not a strategic platform play.</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That 1 Painter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~380 units. Volume play. Painting vertical = lower platform stickiness. Best wedge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BoxDrop Mattress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Mattress retail/delivery. Specialty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Pink's Window Services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cleaning. Smaller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Sploosh</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Pressure washing. Small/emerging brand.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Patch Boys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backend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Franchisee-paid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Drywall repair. Smaller specialty.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ResiConnect (front-end only)</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ResiBrands proprietary</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Franchisor product (front-end)</w:t>
            </w:r>
          </w:p>
        </w:tc>
        <w:tc>
          <w:tcPr>
            <w:tcW w:type="dxa" w:w="11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6"/>
                <w:szCs w:val="16"/>
              </w:rPr>
              <w:t xml:space="preserve">NOT FSM</w:t>
            </w:r>
          </w:p>
        </w:tc>
        <w:tc>
          <w:tcPr>
            <w:tcW w:type="dxa" w:w="950"/>
            <w:tcBorders>
              <w:top w:val="single" w:color="CCCCCC" w:sz="4"/>
              <w:left w:val="single" w:color="CCCCCC" w:sz="4"/>
              <w:bottom w:val="single" w:color="CCCCCC" w:sz="4"/>
              <w:right w:val="single" w:color="CCCCCC" w:sz="4"/>
            </w:tcBorders>
            <w:shd w:fill="FAECE7" w:val="clear"/>
            <w:tcMar>
              <w:top w:type="dxa" w:w="80"/>
              <w:left w:type="dxa" w:w="120"/>
              <w:bottom w:type="dxa" w:w="80"/>
              <w:right w:type="dxa" w:w="120"/>
            </w:tcMar>
          </w:tcPr>
          <w:p>
            <w:pPr>
              <w:jc w:val="center"/>
            </w:pPr>
            <w:r>
              <w:rPr>
                <w:rFonts w:ascii="Arial" w:cs="Arial" w:eastAsia="Arial" w:hAnsi="Arial"/>
                <w:b/>
                <w:bCs/>
                <w:i w:val="false"/>
                <w:iCs w:val="false"/>
                <w:color w:val="A32D2D"/>
                <w:sz w:val="16"/>
                <w:szCs w:val="16"/>
              </w:rPr>
              <w:t xml:space="preserve">No</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Lead routing and customer intake. NOT FSM. ServiceBridge slots in cleanly behind ResiConnect — no displacement fight.</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PE warm path is high-leverage but slow. We can't depend on KKR or Apax or MidOcean to schedule the meeting that gets us in. We need GPS Insight and ServiceBridge to be names franchisor leadership has heard before — multiple times, through multiple channels — by the time the warm path activates. This section is the framework for that. Marketing ownership sits with Marketing teammates; my read is here to give us a starting point.</w:t>
            </w:r>
          </w:p>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ResiBrands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 Montgomery has growing IFA visibility.</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Montgomery attended/spoke. ResiBrands at this size starts showing up in IFA emerging brand tracks.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PCA EXPO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16-20, 2027 — New Orleans, LA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PRIMARY EVENT — That 1 Painter (~380 units) franchisees attend. Painting Contractors Association is the right vertical channel. Direct franchisee-level outreach + ServiceBridge booth.</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 Montgomery primary target. ResiBrands fits emerging franchisor profile perfectly. Sutton (Empower's CDO) is IFA Foundation Trustee — possible overlap opportunity.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Montgomery growing IFA visibility as ResiBrands scales. Reach him directly.</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Multi-unit That 1 Painter operators attend.</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15-17, 2027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Locked-in engagement opportunity 18+ months out. Sutton likely attendee (former chair, IFA Foundation Trustee).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Steven Montgomery (Founder/CEO)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SINGLE decision authority. His content, his speaking calendar = the entire roadmap. LinkedIn engagement here is highest leverage.</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ResiBrands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Montgomery is the entire decision tree. Direct, authentic LinkedIn engagement with his content. Comments that demonstrate understanding of franchise unit economics resonate. ServiceBridge content targeting founder-CEOs lands.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Painter-vertical trade press (PaintPRO, American Painting Contractor) for franchisee-level proof. Trivest-portfolio thought leadership for executive-level visibility.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Good fit. Single-founder franchisor = personal relationship matters. Coin + handwritten note delivered in person at IFA = memorable touch.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That 1 Painter (~380 units) is the volume. Painter franchisees are price-sensitive but receptive to tools that drive route density. Inbound signal from That 1 Painter operators is high-leverage.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Trivest network, PCA painting industry connections, Texas franchise community (ResiBrands Austin-based). GPSI team likely has indirect paths.</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What I'd land for marketing</w:t>
            </w:r>
          </w:p>
          <w:p>
            <w:r>
              <w:rPr>
                <w:rFonts w:ascii="Arial" w:cs="Arial" w:eastAsia="Arial" w:hAnsi="Arial"/>
                <w:sz w:val="22"/>
                <w:szCs w:val="22"/>
              </w:rPr>
              <w:t xml:space="preserve">Marketing teammates owns marketing execution. My read is we should be running 3-4 of these channels at any given time across each P1 — not all 7 channels for every target. The framework helps us pick the right combination given the warm path status, the engagement window, and what we already know about each franchisor's culture.</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ResiBrands.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I plan to use this</w:t>
            </w:r>
          </w:p>
          <w:p>
            <w:r>
              <w:rPr>
                <w:rFonts w:ascii="Arial" w:cs="Arial" w:eastAsia="Arial" w:hAnsi="Arial"/>
                <w:sz w:val="22"/>
                <w:szCs w:val="22"/>
              </w:rPr>
              <w:t xml:space="preserve">My read is the readiness package isn't finished when we send it — it's a starting point. After every meaningful interaction with ResiBrands, I'll capture what we learned here. Before we move to the next P1, we'll review what worked and what didn't, and bring those lessons forward. The team's tribal knowledge fills in the gaps that research couldn't.</w:t>
            </w:r>
          </w:p>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ResiBrands GTM Engagement Readiness  ·  May 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May 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RESIBRANDS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ResiBrands — GTM Engagement Readiness</dc:title>
  <dc:creator>Velocity GTM Co LLC</dc:creator>
  <cp:lastModifiedBy>Un-named</cp:lastModifiedBy>
  <cp:revision>1</cp:revision>
  <dcterms:created xsi:type="dcterms:W3CDTF">2026-04-27T19:00:07.926Z</dcterms:created>
  <dcterms:modified xsi:type="dcterms:W3CDTF">2026-04-27T19:00:07.926Z</dcterms:modified>
</cp:coreProperties>
</file>

<file path=docProps/custom.xml><?xml version="1.0" encoding="utf-8"?>
<Properties xmlns="http://schemas.openxmlformats.org/officeDocument/2006/custom-properties" xmlns:vt="http://schemas.openxmlformats.org/officeDocument/2006/docPropsVTypes"/>
</file>