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irstParagraph"/>
        <w:spacing w:before="180" w:after="180"/>
        <w:rPr/>
      </w:pPr>
      <w:r>
        <w:rPr/>
        <w:t>Velocity GTM Co LLC · Meeting Prep Intake Form v2 · Eric Roth · MidOcean Partners</w:t>
      </w:r>
    </w:p>
    <w:p>
      <w:pPr>
        <w:pStyle w:val="Heading1"/>
        <w:rPr/>
      </w:pPr>
      <w:bookmarkStart w:id="0" w:name="meeting-prep-intake-form"/>
      <w:r>
        <w:rPr>
          <w:b/>
          <w:bCs/>
        </w:rPr>
        <w:t>Meeting Prep Intake Form</w:t>
      </w:r>
    </w:p>
    <w:p>
      <w:pPr>
        <w:pStyle w:val="FirstParagraph"/>
        <w:rPr/>
      </w:pPr>
      <w:r>
        <w:rPr>
          <w:i/>
          <w:iCs/>
        </w:rPr>
        <w:t>Goal: Earn the second meeting because the math + path is worthy of follow-up.</w:t>
      </w:r>
    </w:p>
    <w:p>
      <w:pPr>
        <w:pStyle w:val="BodyText"/>
        <w:rPr/>
      </w:pPr>
      <w:r>
        <w:rPr>
          <w:b/>
          <w:bCs/>
        </w:rPr>
        <w:t>Status:</w:t>
      </w:r>
      <w:r>
        <w:rPr/>
        <w:t xml:space="preserve"> v2 refresh · May 12, 2026 · Charles LinkedIn outreach sent May 5 · Day 7 no response · Charles nudge trigger May 19 (Day 14) </w:t>
      </w:r>
      <w:r>
        <w:rPr>
          <w:b/>
          <w:bCs/>
        </w:rPr>
        <w:t>Previous version:</w:t>
      </w:r>
      <w:r>
        <w:rPr/>
        <w:t xml:space="preserve"> Filled May 5, 2026 — pre-Personal Bridge field · refreshed May 11 v2 · this refresh May 12 </w:t>
      </w:r>
      <w:r>
        <w:rPr>
          <w:b/>
          <w:bCs/>
        </w:rPr>
        <w:t>v2 changes:</w:t>
      </w:r>
      <w:r>
        <w:rPr/>
        <w:t xml:space="preserve"> Personal Bridge field added (Section 2) · status refreshed to Day 7 · CRM Signal Intel updated · response-gated PE-side coin send-out captured in scratchpad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meeting-basics-who-what-when"/>
      <w:r>
        <w:rPr>
          <w:b/>
          <w:bCs/>
        </w:rPr>
        <w:t>1. MEETING BASICS · Who, what, when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Meeting type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Drives whole branch logic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[X] PE (investor side) [ ] Franchisor (operator side)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Person’s name + role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First name + title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Eric Roth, Managing Director · Consumer · Private Equity Investment Team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Firm or company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PE firm OR franchisor co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MidOcean Partners (also leads Structured Equity Solutions strategy)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Meeting length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Drives depth + section weight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[X] 15 min [ ] 30 min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Warm path source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How this meeting happened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Charles Layne direct LinkedIn outreach · sent May 5, 2026 · Day 7 no response as of May 12. Charles nudge trigger May 19 (Day 14). If still pending after Day 14, consider channel switch (email, phone) or pivot to alternative MidOcean operating partner.</w:t>
            </w:r>
          </w:p>
        </w:tc>
      </w:tr>
    </w:tbl>
    <w:p>
      <w:pPr>
        <w:pStyle w:val="Normal"/>
        <w:rPr/>
      </w:pPr>
      <w:bookmarkStart w:id="2" w:name="meeting-basics-who-what-when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Heading2"/>
        <w:rPr/>
      </w:pPr>
      <w:bookmarkStart w:id="3" w:name="personalization-their-world-their-words"/>
      <w:r>
        <w:rPr>
          <w:b/>
          <w:bCs/>
        </w:rPr>
        <w:t>2. PERSONALIZATION · Their world, their words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Recent news / signal to acknowledge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The compliment opener. Be specific.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 xml:space="preserve">Two anchor signals: (1) Eric’s published quote on Bob Myers Operating Partner announcement (Aug 2021) — “drive digital transformation across our portfolio” — already used as the invitation-quote opener in the May 5 prep doc. (2) Eric’s broader public thesis on “Davids vs. Goliaths” middle-market consumer/business services investing (Unpacking the Digital Shelf podcast). (3) MidOcean’s 2025 strategic direction — Eric leads Structured Equity Solutions strategy in addition to private equity. </w:t>
            </w:r>
            <w:r>
              <w:rPr>
                <w:rFonts w:eastAsia="Cambria" w:cs=""/>
                <w:b/>
                <w:bCs/>
                <w:i/>
                <w:iCs/>
                <w:kern w:val="0"/>
                <w:sz w:val="24"/>
                <w:szCs w:val="24"/>
                <w:lang w:val="en-US" w:eastAsia="en-US" w:bidi="ar-SA"/>
              </w:rPr>
              <w:t>(4) MAY 12 CONFIRMATION: Eric Roth is named as the Deal Lead on the Empower Brands investment on MidOcean’s official portfolio page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 xml:space="preserve"> (midoceanpartners.com/our-business/portfolio-companies/empower-brands). That makes him not just an MD at MidOcean — he’s the named human partner for Empower from 2020 investment through current exit-window phase. The Empower conversation is his to lead from the PE side.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Source of the signal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Helps cite credibly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(1) MidOcean Partners press release · Aug 10, 2021 · businesswire.com (2) Unpacking the Digital Shelf podcast — “Building the Moat around Middle Market Manufacturers” (3) MidOcean Partners official bio · midoceanpartners.com/people/eric-roth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CRM Signal Intel + Account Feedback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Master CRM as source of truth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MidOcean Partners (PE) · Empower Brands sponsor since 2020 (5+ years held, exit window opening) · Eric Roth = MD Consumer, joined MidOcean 2018 from Lazard Middle Market Head of Consumer Retail · Charles Layne sent LinkedIn outreach May 5, 2026 — pending acceptance as of May 11 (6 days) · part of broader May 5 ask to Andrea + Garrett (PitchBook access + MidOcean warm intro path + BELFOR/HOODZ adoption playbook) · entry point trident: PE Intro Trident · Empower whale path = Bumble Roofing wedge → Lyons → Sutton → Zide ladder · America 250 letters delivered to Zide, Sutton, Borreca, Welter Apr 28-29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Their personal background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Background for personalization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Columbia University B.A. Economics-Political Science (magna cum laude) · Georgetown University Law Center J.D. (1996-1999) · Prior: Lazard Middle Market (Head of Consumer Retail) · Dewey Ballantine LLP (M&amp;A Group) · New York City based · LinkedIn URL: linkedin.com/in/eric-roth-…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 xml:space="preserve">⭐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PERSONAL BRIDGE · NEW IN v2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Authentic personal-level common ground — the human connector before the business case.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i/>
                <w:iCs/>
                <w:kern w:val="0"/>
                <w:sz w:val="24"/>
                <w:szCs w:val="24"/>
                <w:lang w:val="en-US" w:eastAsia="en-US" w:bidi="ar-SA"/>
              </w:rPr>
              <w:t xml:space="preserve">⭐⭐⭐ </w:t>
            </w:r>
            <w:r>
              <w:rPr>
                <w:rFonts w:eastAsia="Cambria" w:cs=""/>
                <w:b/>
                <w:bCs/>
                <w:i/>
                <w:iCs/>
                <w:kern w:val="0"/>
                <w:sz w:val="24"/>
                <w:szCs w:val="24"/>
                <w:lang w:val="en-US" w:eastAsia="en-US" w:bidi="ar-SA"/>
              </w:rPr>
              <w:t>STRONGEST PERSONAL BRIDGE IN THE ENTIRE DMU.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 xml:space="preserve">Eric’s published MidOcean bio explicitly says his outside-work interests are “travel, fitness, and his kids’ sporting endeavors.” Three direct overlaps:1. </w:t>
            </w:r>
            <w:r>
              <w:rPr>
                <w:rFonts w:eastAsia="Cambria" w:cs=""/>
                <w:b/>
                <w:bCs/>
                <w:i/>
                <w:iCs/>
                <w:kern w:val="0"/>
                <w:sz w:val="24"/>
                <w:szCs w:val="24"/>
                <w:lang w:val="en-US" w:eastAsia="en-US" w:bidi="ar-SA"/>
              </w:rPr>
              <w:t>Kids’ sporting endeavors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 xml:space="preserve"> — 3 sons came up through lacrosse, daughter is a cheerleader at NC State2. </w:t>
            </w:r>
            <w:r>
              <w:rPr>
                <w:rFonts w:eastAsia="Cambria" w:cs=""/>
                <w:b/>
                <w:bCs/>
                <w:i/>
                <w:iCs/>
                <w:kern w:val="0"/>
                <w:sz w:val="24"/>
                <w:szCs w:val="24"/>
                <w:lang w:val="en-US" w:eastAsia="en-US" w:bidi="ar-SA"/>
              </w:rPr>
              <w:t>Fitness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 xml:space="preserve"> — UWF soccer scholarship athlete3. </w:t>
            </w:r>
            <w:r>
              <w:rPr>
                <w:rFonts w:eastAsia="Cambria" w:cs=""/>
                <w:b/>
                <w:bCs/>
                <w:i/>
                <w:iCs/>
                <w:kern w:val="0"/>
                <w:sz w:val="24"/>
                <w:szCs w:val="24"/>
                <w:lang w:val="en-US" w:eastAsia="en-US" w:bidi="ar-SA"/>
              </w:rPr>
              <w:t>Travel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 xml:space="preserve"> — National Parks + hiking with wife · grew up in Hawaii and Florida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Recommended 15-second bridge in the opener: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“Saw your MidOcean bio — kids’ sporting endeavors stood out. We’re in the same season. Three boys came up through lacrosse, daughter’s a cheerleader at NC State. Different season every weekend.”Why this works: Eric takes 200 first meetings a year. This is the only one that opens by recognizing him as a parent first. Changes the next 14 minutes.</w:t>
            </w:r>
          </w:p>
        </w:tc>
      </w:tr>
    </w:tbl>
    <w:p>
      <w:pPr>
        <w:pStyle w:val="Normal"/>
        <w:rPr/>
      </w:pPr>
      <w:bookmarkStart w:id="4" w:name="personalization-their-world-their-word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rPr/>
      </w:pPr>
      <w:bookmarkStart w:id="5" w:name="the-play-what-were-walking-in-with"/>
      <w:r>
        <w:rPr>
          <w:b/>
          <w:bCs/>
        </w:rPr>
        <w:t>3. THE PLAY · What we’re walking in with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The whale (if franchisor)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Drives the math + brand examples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[X] Empower [ ] ResiBrands [ ] Five Star [ ] Other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Specific context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Their situation today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MidOcean is 5+ years into their Empower hold (since 2020) — the exit window is opening. ServiceBridge is positioned to be the PE-grade value creation lever that accelerates the franchisor’s unit-level economics and franchisee profitability, which translates directly into multiple expansion at Empower’s exit. Eric’s portfolio thesis (“transformative growth opportunities in middle-market consumer and business services”) and his stated digital transformation mandate align directly. Scott Zide (Empower CEO) has publicly committed to AI + data warehouse + EOS deployment — ServiceBridge + GPS Insight is the operational instantiation of exactly that. The Andrea + Garrett May 5 ask (PitchBook access + warm intro path) is the activation gate that hardens the math.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What you want from them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The Ask drives the close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i/>
                <w:iCs/>
                <w:kern w:val="0"/>
                <w:sz w:val="24"/>
                <w:szCs w:val="24"/>
                <w:lang w:val="en-US" w:eastAsia="en-US" w:bidi="ar-SA"/>
              </w:rPr>
              <w:t>Triangle ask: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Eric to convene a single 30-min meeting with Empower’s DMU — Zide (CEO) + Borreca (CFO) + Sutton (CDO). Frame as: ServiceBridge + GPS Insight unified-data conversation in service of MidOcean’s stated digital transformation thesis at Empower. Eric as the bridge, not as the seller. Not asking him to advocate — asking him to make the introduction so the receiving CEO knows the conversation has board-level legitimacy.</w:t>
            </w:r>
          </w:p>
        </w:tc>
      </w:tr>
    </w:tbl>
    <w:p>
      <w:pPr>
        <w:pStyle w:val="Normal"/>
        <w:rPr/>
      </w:pPr>
      <w:bookmarkStart w:id="6" w:name="the-play-what-were-walking-in-with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"/>
    </w:p>
    <w:p>
      <w:pPr>
        <w:pStyle w:val="Heading2"/>
        <w:rPr/>
      </w:pPr>
      <w:bookmarkStart w:id="7" w:name="tone-guardrails-avoid-landmines"/>
      <w:r>
        <w:rPr>
          <w:b/>
          <w:bCs/>
        </w:rPr>
        <w:t>4. TONE &amp; GUARDRAILS · Avoid landmines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Things to avoid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Guardrails for the narrative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(1) Do NOT mention any NC State / Canopy / Hunt Davis / Ben Wright references — Mike manages that warm path personally · (2) Avoid pitching ServiceTitan displacement — Empower is ServiceMinder on 8 of 10 brands (franchisee-paid, not franchisor-mandated per Bumble FDD) — frame as franchisor-funded multi-brand FSM consolidation, not vendor-switching · (3) Don’t anchor on tech count or specific $ deal size — leverage ratios only ($2,500 EBITDA/tech/yr · $8 EBITDA per $1 spent · $80-100 exit value per $1 spent) — let Eric do the deal-sizing math himself · (4) Don’t claim to know more about Empower internals than Eric does — he’s been on the board adjacency for 5+ years.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Open scratchpad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Free dump zone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 xml:space="preserve">Charles is the relationship; Mike is the operating execution. Important to position Mike as the GTM/operating-side complement to Charles’s CEO-level relationship with MidOcean, not as a vendor flying in. Charles’s portfolio-language framing on the LinkedIn outreach (“running a portco for Accel-KKR, wanted to get his view”) sets the right peer-to-peer tone — maintain that. Eric’s recent (Aug 2021) public quote on Bob Myers becomes the literal opener: “Eric, you said network is your edge. Charles is your network. Let’s use it.” (already baked into existing 4-page Eric Roth Meeting Prep DOCX from May 5). </w:t>
            </w:r>
            <w:r>
              <w:rPr>
                <w:rFonts w:eastAsia="Cambria" w:cs=""/>
                <w:b/>
                <w:bCs/>
                <w:i/>
                <w:iCs/>
                <w:kern w:val="0"/>
                <w:sz w:val="24"/>
                <w:szCs w:val="24"/>
                <w:lang w:val="en-US" w:eastAsia="en-US" w:bidi="ar-SA"/>
              </w:rPr>
              <w:t>Response-gated coin send-out: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 xml:space="preserve"> when Eric responds to Charles outreach, Charles asks for UPS address in response thread; Velocity GTM coin ships to Eric with brief handwritten note (no America 250 reference required, current coin design is fine).</w:t>
            </w:r>
          </w:p>
        </w:tc>
      </w:tr>
    </w:tbl>
    <w:p>
      <w:pPr>
        <w:pStyle w:val="Normal"/>
        <w:rPr/>
      </w:pPr>
      <w:bookmarkStart w:id="8" w:name="tone-guardrails-avoid-landmin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"/>
    </w:p>
    <w:p>
      <w:pPr>
        <w:pStyle w:val="Heading2"/>
        <w:rPr/>
      </w:pPr>
      <w:bookmarkStart w:id="9" w:name="what-youll-get-back"/>
      <w:r>
        <w:rPr>
          <w:b/>
          <w:bCs/>
        </w:rPr>
        <w:t>WHAT YOU’LL GET BACK</w:t>
      </w:r>
    </w:p>
    <w:p>
      <w:pPr>
        <w:pStyle w:val="FirstParagraph"/>
        <w:rPr/>
      </w:pPr>
      <w:r>
        <w:rPr>
          <w:b/>
          <w:bCs/>
        </w:rPr>
        <w:t>1–2 page narrative tailored for a 15–30 minute first meeting: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Opener (60 sec) — compliment + warm path + </w:t>
      </w:r>
      <w:r>
        <w:rPr>
          <w:b/>
          <w:bCs/>
        </w:rPr>
        <w:t>personal-bridge moment (kids’ sporting endeavors — see ⭐⭐⭐ above)</w:t>
      </w:r>
      <w:r>
        <w:rPr/>
        <w:t xml:space="preserve"> + why I’m reaching out</w:t>
      </w:r>
    </w:p>
    <w:p>
      <w:pPr>
        <w:pStyle w:val="Compact"/>
        <w:numPr>
          <w:ilvl w:val="0"/>
          <w:numId w:val="1"/>
        </w:numPr>
        <w:rPr/>
      </w:pPr>
      <w:r>
        <w:rPr/>
        <w:t>Who I am (45 sec) — Velocity + ServiceBridge + business credibility marker</w:t>
      </w:r>
    </w:p>
    <w:p>
      <w:pPr>
        <w:pStyle w:val="Compact"/>
        <w:numPr>
          <w:ilvl w:val="0"/>
          <w:numId w:val="1"/>
        </w:numPr>
        <w:rPr/>
      </w:pPr>
      <w:r>
        <w:rPr/>
        <w:t>The frame (3 min) — origin story, timing, their specific situation (MidOcean exit window + Empower digital transformation thesis)</w:t>
      </w:r>
    </w:p>
    <w:p>
      <w:pPr>
        <w:pStyle w:val="Compact"/>
        <w:numPr>
          <w:ilvl w:val="0"/>
          <w:numId w:val="1"/>
        </w:numPr>
        <w:rPr/>
      </w:pPr>
      <w:r>
        <w:rPr/>
        <w:t>The math (5 min) — exit math: $2,500 EBITDA/tech/yr · $8 EBITDA per $1 spent · $80-100 exit value per $1 spent</w:t>
      </w:r>
    </w:p>
    <w:p>
      <w:pPr>
        <w:pStyle w:val="Compact"/>
        <w:numPr>
          <w:ilvl w:val="0"/>
          <w:numId w:val="1"/>
        </w:numPr>
        <w:rPr/>
      </w:pPr>
      <w:r>
        <w:rPr/>
        <w:t>The wedge (3 min) — Bumble Roofing wedge → Lyons → Sutton → Zide ladder · BELFOR HOODZ+DUCTZ 94% adoption playbook as proof point (pending Andrea delivery)</w:t>
      </w:r>
    </w:p>
    <w:p>
      <w:pPr>
        <w:pStyle w:val="Compact"/>
        <w:numPr>
          <w:ilvl w:val="0"/>
          <w:numId w:val="1"/>
        </w:numPr>
        <w:rPr/>
      </w:pPr>
      <w:r>
        <w:rPr/>
        <w:t>The ask (60 sec) — Triangle ask: Zide + Borreca + Sutton · single 30-min meeting · Charles + Mike co-lead</w:t>
      </w:r>
    </w:p>
    <w:p>
      <w:pPr>
        <w:pStyle w:val="Compact"/>
        <w:numPr>
          <w:ilvl w:val="0"/>
          <w:numId w:val="1"/>
        </w:numPr>
        <w:rPr/>
      </w:pPr>
      <w:r>
        <w:rPr/>
        <w:t>Page 2 (optional) — anticipated Q&amp;A bank</w:t>
      </w:r>
    </w:p>
    <w:p>
      <w:pPr>
        <w:pStyle w:val="FirstParagraph"/>
        <w:rPr/>
      </w:pPr>
      <w:r>
        <w:rPr>
          <w:b/>
          <w:bCs/>
        </w:rPr>
        <w:t>Existing 4-page prep doc:</w:t>
      </w:r>
      <w:r>
        <w:rPr/>
        <w:t xml:space="preserve"> </w:t>
      </w:r>
      <w:r>
        <w:rPr>
          <w:rStyle w:val="VerbatimChar"/>
        </w:rPr>
        <w:t>Eric_Roth_Meeting_Prep.docx</w:t>
      </w:r>
      <w:r>
        <w:rPr/>
        <w:t xml:space="preserve"> (May 5, 2026 final version) — refresh with this v2 intake form when Eric accepts and meeting books.</w:t>
      </w:r>
    </w:p>
    <w:p>
      <w:pPr>
        <w:pStyle w:val="Normal"/>
        <w:rPr/>
      </w:pPr>
      <w:bookmarkStart w:id="10" w:name="what-youll-get-back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"/>
    </w:p>
    <w:p>
      <w:pPr>
        <w:pStyle w:val="Heading2"/>
        <w:rPr/>
      </w:pPr>
      <w:bookmarkStart w:id="11" w:name="X121199ae7bbf0a0ee263efb1fea03d63c7a8b34"/>
      <w:r>
        <w:rPr>
          <w:b/>
          <w:bCs/>
        </w:rPr>
        <w:t>What to update on next refresh (every few days)</w:t>
      </w:r>
    </w:p>
    <w:p>
      <w:pPr>
        <w:pStyle w:val="Compact"/>
        <w:numPr>
          <w:ilvl w:val="0"/>
          <w:numId w:val="4"/>
        </w:numPr>
        <w:rPr/>
      </w:pPr>
      <w:r>
        <w:rPr>
          <w:b/>
          <w:bCs/>
        </w:rPr>
        <w:t>CRM Signal Intel</w:t>
      </w:r>
      <w:r>
        <w:rPr/>
        <w:t xml:space="preserve"> — status of Charles’s LinkedIn outreach (accepted? declined? Charles’s nudge response if sent May 19?)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Recent news / signal</w:t>
      </w:r>
      <w:r>
        <w:rPr/>
        <w:t xml:space="preserve"> — any new MidOcean activity, Empower news, Eric’s public quotes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Specific context</w:t>
      </w:r>
      <w:r>
        <w:rPr/>
        <w:t xml:space="preserve"> — what’s changed since last update (PitchBook landed? Andrea responded? BELFOR playbook delivered?)</w:t>
      </w:r>
    </w:p>
    <w:p>
      <w:pPr>
        <w:pStyle w:val="Compact"/>
        <w:numPr>
          <w:ilvl w:val="0"/>
          <w:numId w:val="7"/>
        </w:numPr>
        <w:rPr/>
      </w:pPr>
      <w:r>
        <w:rPr>
          <w:b/>
          <w:bCs/>
        </w:rPr>
        <w:t>Personal Bridge</w:t>
      </w:r>
      <w:r>
        <w:rPr/>
        <w:t xml:space="preserve"> — keep this — it’s stable, no need to refresh unless Eric posts new family/personal signal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bookmarkStart w:id="12" w:name="meeting-prep-intake-form"/>
      <w:bookmarkStart w:id="13" w:name="X121199ae7bbf0a0ee263efb1fea03d63c7a8b34"/>
      <w:r>
        <w:rPr>
          <w:i/>
          <w:iCs/>
        </w:rPr>
        <w:t>Velocity GTM Co LLC · Meeting Prep Intake Form v2 · Eric Roth · MidOcean Partners · Refreshed May 12, 2026</w:t>
      </w:r>
      <w:bookmarkEnd w:id="12"/>
      <w:bookmarkEnd w:id="13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nsolas"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 w:numId="6">
    <w:abstractNumId w:val="1"/>
  </w:num>
  <w:num w:numId="7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star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start="480" w:end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2026-05-12T17:14:57Z</dcterms:created>
  <dc:creator/>
  <dc:description/>
  <dc:language>en-US</dc:language>
  <cp:lastModifiedBy/>
  <dcterms:modified xsi:type="dcterms:W3CDTF">2026-05-12T17:14:57Z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