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Velocity GTM Co LLC · Meeting Prep Intake Form v2 · Joseph Trahan · Princeton Equity Group</w:t>
      </w:r>
    </w:p>
    <w:p>
      <w:pPr>
        <w:pStyle w:val="Heading1"/>
        <w:rPr/>
      </w:pPr>
      <w:bookmarkStart w:id="0" w:name="meeting-prep-intake-form"/>
      <w:r>
        <w:rPr>
          <w:b/>
          <w:bCs/>
        </w:rPr>
        <w:t>Meeting Prep Intake Form</w:t>
      </w:r>
    </w:p>
    <w:p>
      <w:pPr>
        <w:pStyle w:val="FirstParagraph"/>
        <w:rPr/>
      </w:pPr>
      <w:r>
        <w:rPr>
          <w:i/>
          <w:iCs/>
        </w:rPr>
        <w:t>Goal: Earn the second meeting because the math + path is worthy of follow-up.</w:t>
      </w:r>
    </w:p>
    <w:p>
      <w:pPr>
        <w:pStyle w:val="BodyText"/>
        <w:rPr/>
      </w:pPr>
      <w:r>
        <w:rPr>
          <w:b/>
          <w:bCs/>
        </w:rPr>
        <w:t>Status:</w:t>
      </w:r>
      <w:r>
        <w:rPr/>
        <w:t xml:space="preserve"> v2 refresh · May 12, 2026 · Charles LinkedIn outreach to Lexington Halbert sent May 5 · Day 7 no response · Lexington forward to Trahan unconfirmed · Charles nudge trigger May 19 (Day 14) </w:t>
      </w:r>
      <w:r>
        <w:rPr>
          <w:b/>
          <w:bCs/>
        </w:rPr>
        <w:t>v2 changes:</w:t>
      </w:r>
      <w:r>
        <w:rPr/>
        <w:t xml:space="preserve"> Personal Bridge field added (Section 2) — deliberately blank per discipline rule · Status refreshed to Day 7 · Response-gated PE-side coin send-out captured in scratchpad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meeting-basics-who-what-when"/>
      <w:r>
        <w:rPr>
          <w:b/>
          <w:bCs/>
        </w:rPr>
        <w:t>1. MEETING BASICS · Who, what, when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Meeting type</w:t>
            </w:r>
            <w:r>
              <w:rPr>
                <w:rFonts w:eastAsia="Cambria" w:cs=""/>
                <w:kern w:val="0"/>
                <w:sz w:val="24"/>
                <w:szCs w:val="24"/>
                <w:lang w:val="en-US" w:eastAsia="en-US" w:bidi="ar-SA"/>
              </w:rPr>
              <w:t xml:space="preserve"> </w:t>
            </w:r>
            <w:r>
              <w:rPr>
                <w:rFonts w:eastAsia="Cambria" w:cs=""/>
                <w:i/>
                <w:iCs/>
                <w:kern w:val="0"/>
                <w:sz w:val="24"/>
                <w:szCs w:val="24"/>
                <w:lang w:val="en-US" w:eastAsia="en-US" w:bidi="ar-SA"/>
              </w:rPr>
              <w:t>Drives whole branch logic</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PE (investor side) [ ] Franchisor (operator side)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Person’s name + role</w:t>
            </w:r>
            <w:r>
              <w:rPr>
                <w:rFonts w:eastAsia="Cambria" w:cs=""/>
                <w:kern w:val="0"/>
                <w:sz w:val="24"/>
                <w:szCs w:val="24"/>
                <w:lang w:val="en-US" w:eastAsia="en-US" w:bidi="ar-SA"/>
              </w:rPr>
              <w:t xml:space="preserve"> </w:t>
            </w:r>
            <w:r>
              <w:rPr>
                <w:rFonts w:eastAsia="Cambria" w:cs=""/>
                <w:i/>
                <w:iCs/>
                <w:kern w:val="0"/>
                <w:sz w:val="24"/>
                <w:szCs w:val="24"/>
                <w:lang w:val="en-US" w:eastAsia="en-US" w:bidi="ar-SA"/>
              </w:rPr>
              <w:t>First name + title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Joseph Trahan, Principal · GrowthEdge team (value creation arm)</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Firm or company</w:t>
            </w:r>
            <w:r>
              <w:rPr>
                <w:rFonts w:eastAsia="Cambria" w:cs=""/>
                <w:kern w:val="0"/>
                <w:sz w:val="24"/>
                <w:szCs w:val="24"/>
                <w:lang w:val="en-US" w:eastAsia="en-US" w:bidi="ar-SA"/>
              </w:rPr>
              <w:t xml:space="preserve"> </w:t>
            </w:r>
            <w:r>
              <w:rPr>
                <w:rFonts w:eastAsia="Cambria" w:cs=""/>
                <w:i/>
                <w:iCs/>
                <w:kern w:val="0"/>
                <w:sz w:val="24"/>
                <w:szCs w:val="24"/>
                <w:lang w:val="en-US" w:eastAsia="en-US" w:bidi="ar-SA"/>
              </w:rPr>
              <w:t>PE firm OR franchisor co</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Princeton Equity Group · ~$1.6B AUM · franchise/multi-unit specialist · Princeton NJ HQ</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Meeting length</w:t>
            </w:r>
            <w:r>
              <w:rPr>
                <w:rFonts w:eastAsia="Cambria" w:cs=""/>
                <w:kern w:val="0"/>
                <w:sz w:val="24"/>
                <w:szCs w:val="24"/>
                <w:lang w:val="en-US" w:eastAsia="en-US" w:bidi="ar-SA"/>
              </w:rPr>
              <w:t xml:space="preserve"> </w:t>
            </w:r>
            <w:r>
              <w:rPr>
                <w:rFonts w:eastAsia="Cambria" w:cs=""/>
                <w:i/>
                <w:iCs/>
                <w:kern w:val="0"/>
                <w:sz w:val="24"/>
                <w:szCs w:val="24"/>
                <w:lang w:val="en-US" w:eastAsia="en-US" w:bidi="ar-SA"/>
              </w:rPr>
              <w:t>Drives depth + section weight</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15 min [ ] 30 min</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Warm path source</w:t>
            </w:r>
            <w:r>
              <w:rPr>
                <w:rFonts w:eastAsia="Cambria" w:cs=""/>
                <w:kern w:val="0"/>
                <w:sz w:val="24"/>
                <w:szCs w:val="24"/>
                <w:lang w:val="en-US" w:eastAsia="en-US" w:bidi="ar-SA"/>
              </w:rPr>
              <w:t xml:space="preserve"> </w:t>
            </w:r>
            <w:r>
              <w:rPr>
                <w:rFonts w:eastAsia="Cambria" w:cs=""/>
                <w:i/>
                <w:iCs/>
                <w:kern w:val="0"/>
                <w:sz w:val="24"/>
                <w:szCs w:val="24"/>
                <w:lang w:val="en-US" w:eastAsia="en-US" w:bidi="ar-SA"/>
              </w:rPr>
              <w:t>How this meeting happened</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Charles Layne → Lexington Halbert (Investor at Princeton Equity Group, 1st-degree connection to Charles, confirmed willing to facilitate intro May 5) → Joseph Trahan. As of May 12: Charles sent intro request to Lexington on May 5 at 10:26 AM; Lexington confirmed willing within 90 min; </w:t>
            </w:r>
            <w:r>
              <w:rPr>
                <w:rFonts w:eastAsia="Cambria" w:cs=""/>
                <w:b/>
                <w:bCs/>
                <w:i/>
                <w:iCs/>
                <w:kern w:val="0"/>
                <w:sz w:val="24"/>
                <w:szCs w:val="24"/>
                <w:lang w:val="en-US" w:eastAsia="en-US" w:bidi="ar-SA"/>
              </w:rPr>
              <w:t>Day 7 no further movement</w:t>
            </w:r>
            <w:r>
              <w:rPr>
                <w:rFonts w:eastAsia="Cambria" w:cs=""/>
                <w:i/>
                <w:iCs/>
                <w:kern w:val="0"/>
                <w:sz w:val="24"/>
                <w:szCs w:val="24"/>
                <w:lang w:val="en-US" w:eastAsia="en-US" w:bidi="ar-SA"/>
              </w:rPr>
              <w:t xml:space="preserve"> — Lexington’s forward to Trahan unconfirmed. Charles nudge trigger May 19 (Day 14) if still no movement.</w:t>
            </w:r>
          </w:p>
        </w:tc>
      </w:tr>
    </w:tbl>
    <w:p>
      <w:pPr>
        <w:pStyle w:val="Normal"/>
        <w:rPr/>
      </w:pPr>
      <w:bookmarkStart w:id="2" w:name="meeting-basics-who-what-when"/>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personalization-their-world-their-words"/>
      <w:r>
        <w:rPr>
          <w:b/>
          <w:bCs/>
        </w:rPr>
        <w:t>2. PERSONALIZATION · Their world, their words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Recent news / signal to acknowledge</w:t>
            </w:r>
            <w:r>
              <w:rPr>
                <w:rFonts w:eastAsia="Cambria" w:cs=""/>
                <w:kern w:val="0"/>
                <w:sz w:val="24"/>
                <w:szCs w:val="24"/>
                <w:lang w:val="en-US" w:eastAsia="en-US" w:bidi="ar-SA"/>
              </w:rPr>
              <w:t xml:space="preserve"> </w:t>
            </w:r>
            <w:r>
              <w:rPr>
                <w:rFonts w:eastAsia="Cambria" w:cs=""/>
                <w:i/>
                <w:iCs/>
                <w:kern w:val="0"/>
                <w:sz w:val="24"/>
                <w:szCs w:val="24"/>
                <w:lang w:val="en-US" w:eastAsia="en-US" w:bidi="ar-SA"/>
              </w:rPr>
              <w:t>The compliment opener. Be specific.</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Two strongest anchor signals:(1) </w:t>
            </w:r>
            <w:r>
              <w:rPr>
                <w:rFonts w:eastAsia="Cambria" w:cs=""/>
                <w:b/>
                <w:bCs/>
                <w:i/>
                <w:iCs/>
                <w:kern w:val="0"/>
                <w:sz w:val="24"/>
                <w:szCs w:val="24"/>
                <w:lang w:val="en-US" w:eastAsia="en-US" w:bidi="ar-SA"/>
              </w:rPr>
              <w:t>Joseph’s published quote on KidStrong investment</w:t>
            </w:r>
            <w:r>
              <w:rPr>
                <w:rFonts w:eastAsia="Cambria" w:cs=""/>
                <w:i/>
                <w:iCs/>
                <w:kern w:val="0"/>
                <w:sz w:val="24"/>
                <w:szCs w:val="24"/>
                <w:lang w:val="en-US" w:eastAsia="en-US" w:bidi="ar-SA"/>
              </w:rPr>
              <w:t xml:space="preserve"> (Princeton press release, March 24, 2026): “a highly innovative brand which is having an immeasurable impact on the families it serves… we could not be more thrilled to partner with this transformational brand through its next phase of growth.”(2) </w:t>
            </w:r>
            <w:r>
              <w:rPr>
                <w:rFonts w:eastAsia="Cambria" w:cs=""/>
                <w:b/>
                <w:bCs/>
                <w:i/>
                <w:iCs/>
                <w:kern w:val="0"/>
                <w:sz w:val="24"/>
                <w:szCs w:val="24"/>
                <w:lang w:val="en-US" w:eastAsia="en-US" w:bidi="ar-SA"/>
              </w:rPr>
              <w:t>Five Star Franchising CEO’s Q2 2026 board-visit post on LinkedIn</w:t>
            </w:r>
            <w:r>
              <w:rPr>
                <w:rFonts w:eastAsia="Cambria" w:cs=""/>
                <w:i/>
                <w:iCs/>
                <w:kern w:val="0"/>
                <w:sz w:val="24"/>
                <w:szCs w:val="24"/>
                <w:lang w:val="en-US" w:eastAsia="en-US" w:bidi="ar-SA"/>
              </w:rPr>
              <w:t xml:space="preserve"> — praising Princeton team (Doug Kennealey, Joseph Trahan, Robert Baisch) for “improving unit-level economics, unlocking new lead verticals, and launching brand-specific initiatives that directly support franchisee growth.” Trahan was literally in the room when this thesis was endorsed.</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of the signal</w:t>
            </w:r>
            <w:r>
              <w:rPr>
                <w:rFonts w:eastAsia="Cambria" w:cs=""/>
                <w:kern w:val="0"/>
                <w:sz w:val="24"/>
                <w:szCs w:val="24"/>
                <w:lang w:val="en-US" w:eastAsia="en-US" w:bidi="ar-SA"/>
              </w:rPr>
              <w:t xml:space="preserve"> </w:t>
            </w:r>
            <w:r>
              <w:rPr>
                <w:rFonts w:eastAsia="Cambria" w:cs=""/>
                <w:i/>
                <w:iCs/>
                <w:kern w:val="0"/>
                <w:sz w:val="24"/>
                <w:szCs w:val="24"/>
                <w:lang w:val="en-US" w:eastAsia="en-US" w:bidi="ar-SA"/>
              </w:rPr>
              <w:t>Helps cite credibly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(1) Princeton Equity Group press release · PR Newswire · KidStrong investment announcement · March 24, 2026 (2) LinkedIn — Five Star Franchising CEO post · Q2 2026 (Princeton team board visit at Five Star HQ)</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CRM Signal Intel + Account Feedback</w:t>
            </w:r>
            <w:r>
              <w:rPr>
                <w:rFonts w:eastAsia="Cambria" w:cs=""/>
                <w:kern w:val="0"/>
                <w:sz w:val="24"/>
                <w:szCs w:val="24"/>
                <w:lang w:val="en-US" w:eastAsia="en-US" w:bidi="ar-SA"/>
              </w:rPr>
              <w:t xml:space="preserve"> </w:t>
            </w:r>
            <w:r>
              <w:rPr>
                <w:rFonts w:eastAsia="Cambria" w:cs=""/>
                <w:i/>
                <w:iCs/>
                <w:kern w:val="0"/>
                <w:sz w:val="24"/>
                <w:szCs w:val="24"/>
                <w:lang w:val="en-US" w:eastAsia="en-US" w:bidi="ar-SA"/>
              </w:rPr>
              <w:t>Master CRM as source of truth</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Five Star Franchising · Princeton portfolio · Trahan named member of Five Star board, visited HQ Q2 2026 with Kennealey + Baisch · Five Star DMU per readiness package: Abbott (CEO, ProNexis cofounder) + Jones (COO) + White (CFO) · Mosquito Shield is wedge brand (400+ territories) · existing GPSI/Mosquito Shield customer overlap is highest-confidence Phase 1 access vector in entire P1 set (Andrea pulling the list) · Five Star “FAST-CYCLE” character — founder-led, single-decision-maker, fast cycle · Trahan on GrowthEdge value-creation team = paid to find these operational levers across the portfolio, not just at Five Star · PE-discrepancy note: PitchBook says Trivium Global+Contrarian vs readiness package says Trivest+angel — let Joseph clarify if natural, don’t surface preemptively</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Their personal background</w:t>
            </w:r>
            <w:r>
              <w:rPr>
                <w:rFonts w:eastAsia="Cambria" w:cs=""/>
                <w:kern w:val="0"/>
                <w:sz w:val="24"/>
                <w:szCs w:val="24"/>
                <w:lang w:val="en-US" w:eastAsia="en-US" w:bidi="ar-SA"/>
              </w:rPr>
              <w:t xml:space="preserve"> </w:t>
            </w:r>
            <w:r>
              <w:rPr>
                <w:rFonts w:eastAsia="Cambria" w:cs=""/>
                <w:i/>
                <w:iCs/>
                <w:kern w:val="0"/>
                <w:sz w:val="24"/>
                <w:szCs w:val="24"/>
                <w:lang w:val="en-US" w:eastAsia="en-US" w:bidi="ar-SA"/>
              </w:rPr>
              <w:t>Background for personalization</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Texas A&amp;M University B.B.A. Finance (Business Honors) · Kellogg School of Management (Northwestern) MBA · prior firms: Trive Capital, Elm Park Capital Management, JPMorgan Chase · LinkedIn URL: linkedin.com/in/joseph-trahan-779b3a98/ · LinkedIn quote (Carl Sagan): “Somewhere, something incredible is waiting to be known.”</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PERSONAL BRIDGE · NEW IN v2</w:t>
            </w:r>
            <w:r>
              <w:rPr>
                <w:rFonts w:eastAsia="Cambria" w:cs=""/>
                <w:kern w:val="0"/>
                <w:sz w:val="24"/>
                <w:szCs w:val="24"/>
                <w:lang w:val="en-US" w:eastAsia="en-US" w:bidi="ar-SA"/>
              </w:rPr>
              <w:t xml:space="preserve"> </w:t>
            </w:r>
            <w:r>
              <w:rPr>
                <w:rFonts w:eastAsia="Cambria" w:cs=""/>
                <w:i/>
                <w:iCs/>
                <w:kern w:val="0"/>
                <w:sz w:val="24"/>
                <w:szCs w:val="24"/>
                <w:lang w:val="en-US" w:eastAsia="en-US" w:bidi="ar-SA"/>
              </w:rPr>
              <w:t>Authentic personal-level common ground — the human connector before the business case.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i/>
                <w:iCs/>
                <w:kern w:val="0"/>
                <w:sz w:val="24"/>
                <w:szCs w:val="24"/>
                <w:lang w:val="en-US" w:eastAsia="en-US" w:bidi="ar-SA"/>
              </w:rPr>
              <w:t>BLANK — deliberate per discipline rule.</w:t>
            </w:r>
            <w:r>
              <w:rPr>
                <w:rFonts w:eastAsia="Cambria" w:cs=""/>
                <w:i/>
                <w:iCs/>
                <w:kern w:val="0"/>
                <w:sz w:val="24"/>
                <w:szCs w:val="24"/>
                <w:lang w:val="en-US" w:eastAsia="en-US" w:bidi="ar-SA"/>
              </w:rPr>
              <w:t>Joseph’s public footprint is purely professional. Texas A&amp;M + Kellogg + Trive Capital + JPMorgan — no surfaced personal anchors that authentically cross over to Mike’s life. Mike grew up in Hawaii and Florida — no Texas connection. No college-athlete signal from Joseph’s profile. The Carl Sagan reference on his LinkedIn is too risky to mirror (forced cultural reference reads as research-stalker, not genuine).</w:t>
            </w:r>
            <w:r>
              <w:rPr>
                <w:rFonts w:eastAsia="Cambria" w:cs=""/>
                <w:b/>
                <w:bCs/>
                <w:i/>
                <w:iCs/>
                <w:kern w:val="0"/>
                <w:sz w:val="24"/>
                <w:szCs w:val="24"/>
                <w:lang w:val="en-US" w:eastAsia="en-US" w:bidi="ar-SA"/>
              </w:rPr>
              <w:t>Default: skip the personal bridge moment.</w:t>
            </w:r>
            <w:r>
              <w:rPr>
                <w:rFonts w:eastAsia="Cambria" w:cs=""/>
                <w:kern w:val="0"/>
                <w:sz w:val="24"/>
                <w:szCs w:val="24"/>
                <w:lang w:val="en-US" w:eastAsia="en-US" w:bidi="ar-SA"/>
              </w:rPr>
              <w:t xml:space="preserve"> </w:t>
            </w:r>
            <w:r>
              <w:rPr>
                <w:rFonts w:eastAsia="Cambria" w:cs=""/>
                <w:i/>
                <w:iCs/>
                <w:kern w:val="0"/>
                <w:sz w:val="24"/>
                <w:szCs w:val="24"/>
                <w:lang w:val="en-US" w:eastAsia="en-US" w:bidi="ar-SA"/>
              </w:rPr>
              <w:t>Opener relies on public-signal compliment instead — the Five Star CEO’s Q2 board-visit post praising Princeton’s “unit-level economics + new lead verticals” thesis. That’s a stronger opener than a forced personal angle, because Trahan was in the room when that thesis was endorsed.</w:t>
            </w:r>
            <w:r>
              <w:rPr>
                <w:rFonts w:eastAsia="Cambria" w:cs=""/>
                <w:b/>
                <w:bCs/>
                <w:i/>
                <w:iCs/>
                <w:kern w:val="0"/>
                <w:sz w:val="24"/>
                <w:szCs w:val="24"/>
                <w:lang w:val="en-US" w:eastAsia="en-US" w:bidi="ar-SA"/>
              </w:rPr>
              <w:t>If anything surfaces during the call:</w:t>
            </w:r>
            <w:r>
              <w:rPr>
                <w:rFonts w:eastAsia="Cambria" w:cs=""/>
                <w:kern w:val="0"/>
                <w:sz w:val="24"/>
                <w:szCs w:val="24"/>
                <w:lang w:val="en-US" w:eastAsia="en-US" w:bidi="ar-SA"/>
              </w:rPr>
              <w:t xml:space="preserve"> </w:t>
            </w:r>
            <w:r>
              <w:rPr>
                <w:rFonts w:eastAsia="Cambria" w:cs=""/>
                <w:i/>
                <w:iCs/>
                <w:kern w:val="0"/>
                <w:sz w:val="24"/>
                <w:szCs w:val="24"/>
                <w:lang w:val="en-US" w:eastAsia="en-US" w:bidi="ar-SA"/>
              </w:rPr>
              <w:t>If Joseph mentions family, sports, geography, or any personal anchor in his own intro, capture it and use it on the follow-up touchpoint — not in the opening.</w:t>
            </w:r>
          </w:p>
        </w:tc>
      </w:tr>
    </w:tbl>
    <w:p>
      <w:pPr>
        <w:pStyle w:val="Normal"/>
        <w:rPr/>
      </w:pPr>
      <w:bookmarkStart w:id="4" w:name="personalization-their-world-their-words"/>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the-play-what-were-walking-in-with"/>
      <w:r>
        <w:rPr>
          <w:b/>
          <w:bCs/>
        </w:rPr>
        <w:t>3. THE PLAY · What we’re walking in with</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whale (if franchisor)</w:t>
            </w:r>
            <w:r>
              <w:rPr>
                <w:rFonts w:eastAsia="Cambria" w:cs=""/>
                <w:kern w:val="0"/>
                <w:sz w:val="24"/>
                <w:szCs w:val="24"/>
                <w:lang w:val="en-US" w:eastAsia="en-US" w:bidi="ar-SA"/>
              </w:rPr>
              <w:t xml:space="preserve"> </w:t>
            </w:r>
            <w:r>
              <w:rPr>
                <w:rFonts w:eastAsia="Cambria" w:cs=""/>
                <w:i/>
                <w:iCs/>
                <w:kern w:val="0"/>
                <w:sz w:val="24"/>
                <w:szCs w:val="24"/>
                <w:lang w:val="en-US" w:eastAsia="en-US" w:bidi="ar-SA"/>
              </w:rPr>
              <w:t>Drives the math + brand examples</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 Empower [ ] ResiBrands [X] Five Star [ ] Other</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Specific context</w:t>
            </w:r>
            <w:r>
              <w:rPr>
                <w:rFonts w:eastAsia="Cambria" w:cs=""/>
                <w:kern w:val="0"/>
                <w:sz w:val="24"/>
                <w:szCs w:val="24"/>
                <w:lang w:val="en-US" w:eastAsia="en-US" w:bidi="ar-SA"/>
              </w:rPr>
              <w:t xml:space="preserve"> </w:t>
            </w:r>
            <w:r>
              <w:rPr>
                <w:rFonts w:eastAsia="Cambria" w:cs=""/>
                <w:i/>
                <w:iCs/>
                <w:kern w:val="0"/>
                <w:sz w:val="24"/>
                <w:szCs w:val="24"/>
                <w:lang w:val="en-US" w:eastAsia="en-US" w:bidi="ar-SA"/>
              </w:rPr>
              <w:t>Their situation today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Trahan sits on Five Star’s board and on Princeton’s GrowthEdge team — operational value-creation lens, not just deal-side. He has direct visibility into Five Star’s franchisee unit-level economics priority (per CEO board-meeting post). ServiceBridge plays directly into that thesis: telematics + FSM unified platform = unit-level EBITDA acceleration. GrowthEdge mandate makes him the right entry point — he’s paid to find these levers across the portfolio, not just at Five Star. Princeton has a strong recent track record with the youth/family-services/multi-unit thesis (KidStrong March 2026, Amped Fitness January 2026, Strickland Brothers $360M financing). ServiceBridge fits cleanly in their playbook.</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you want from them</w:t>
            </w:r>
            <w:r>
              <w:rPr>
                <w:rFonts w:eastAsia="Cambria" w:cs=""/>
                <w:kern w:val="0"/>
                <w:sz w:val="24"/>
                <w:szCs w:val="24"/>
                <w:lang w:val="en-US" w:eastAsia="en-US" w:bidi="ar-SA"/>
              </w:rPr>
              <w:t xml:space="preserve"> </w:t>
            </w:r>
            <w:r>
              <w:rPr>
                <w:rFonts w:eastAsia="Cambria" w:cs=""/>
                <w:i/>
                <w:iCs/>
                <w:kern w:val="0"/>
                <w:sz w:val="24"/>
                <w:szCs w:val="24"/>
                <w:lang w:val="en-US" w:eastAsia="en-US" w:bidi="ar-SA"/>
              </w:rPr>
              <w:t>The Ask drives the close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i/>
                <w:iCs/>
                <w:kern w:val="0"/>
                <w:sz w:val="24"/>
                <w:szCs w:val="24"/>
                <w:lang w:val="en-US" w:eastAsia="en-US" w:bidi="ar-SA"/>
              </w:rPr>
              <w:t>Triangle ask:</w:t>
            </w:r>
            <w:r>
              <w:rPr>
                <w:rFonts w:eastAsia="Cambria" w:cs=""/>
                <w:kern w:val="0"/>
                <w:sz w:val="24"/>
                <w:szCs w:val="24"/>
                <w:lang w:val="en-US" w:eastAsia="en-US" w:bidi="ar-SA"/>
              </w:rPr>
              <w:t xml:space="preserve"> </w:t>
            </w:r>
            <w:r>
              <w:rPr>
                <w:rFonts w:eastAsia="Cambria" w:cs=""/>
                <w:i/>
                <w:iCs/>
                <w:kern w:val="0"/>
                <w:sz w:val="24"/>
                <w:szCs w:val="24"/>
                <w:lang w:val="en-US" w:eastAsia="en-US" w:bidi="ar-SA"/>
              </w:rPr>
              <w:t>Joseph to convene a single 30-min meeting with Five Star DMU — Abbott (CEO) + White (CFO) + Jones (COO). Frame as: ServiceBridge + GPS Insight unified-data conversation in service of the unit-level economics + new lead verticals thesis the Five Star board already endorsed in Q2. Joseph Trahan as the bridge — not making him sell ServiceBridge, just making the introduction.</w:t>
            </w:r>
          </w:p>
        </w:tc>
      </w:tr>
    </w:tbl>
    <w:p>
      <w:pPr>
        <w:pStyle w:val="Normal"/>
        <w:rPr/>
      </w:pPr>
      <w:bookmarkStart w:id="6" w:name="the-play-what-were-walking-in-with"/>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tone-guardrails-avoid-landmines"/>
      <w:r>
        <w:rPr>
          <w:b/>
          <w:bCs/>
        </w:rPr>
        <w:t>4. TONE &amp; GUARDRAILS · Avoid landmines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Things to avoid</w:t>
            </w:r>
            <w:r>
              <w:rPr>
                <w:rFonts w:eastAsia="Cambria" w:cs=""/>
                <w:kern w:val="0"/>
                <w:sz w:val="24"/>
                <w:szCs w:val="24"/>
                <w:lang w:val="en-US" w:eastAsia="en-US" w:bidi="ar-SA"/>
              </w:rPr>
              <w:t xml:space="preserve"> </w:t>
            </w:r>
            <w:r>
              <w:rPr>
                <w:rFonts w:eastAsia="Cambria" w:cs=""/>
                <w:i/>
                <w:iCs/>
                <w:kern w:val="0"/>
                <w:sz w:val="24"/>
                <w:szCs w:val="24"/>
                <w:lang w:val="en-US" w:eastAsia="en-US" w:bidi="ar-SA"/>
              </w:rPr>
              <w:t>Guardrails for the narrative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(1) </w:t>
            </w:r>
            <w:r>
              <w:rPr>
                <w:rFonts w:eastAsia="Cambria" w:cs=""/>
                <w:b/>
                <w:bCs/>
                <w:i/>
                <w:iCs/>
                <w:kern w:val="0"/>
                <w:sz w:val="24"/>
                <w:szCs w:val="24"/>
                <w:lang w:val="en-US" w:eastAsia="en-US" w:bidi="ar-SA"/>
              </w:rPr>
              <w:t>ProNexis sensitivity.</w:t>
            </w:r>
            <w:r>
              <w:rPr>
                <w:rFonts w:eastAsia="Cambria" w:cs=""/>
                <w:i/>
                <w:iCs/>
                <w:kern w:val="0"/>
                <w:sz w:val="24"/>
                <w:szCs w:val="24"/>
                <w:lang w:val="en-US" w:eastAsia="en-US" w:bidi="ar-SA"/>
              </w:rPr>
              <w:t xml:space="preserve"> Abbott cofounded ProNexis (Five Star’s call-center backend) — any framing that competes with or threatens ProNexis blows the meeting. ServiceBridge sits downstream of ProNexis (job/tech-side) — explicitly pre-empt: “ServiceBridge sits downstream of ProNexis, not in its lane.” (2) Avoid ServiceTitan displacement framing — Five Star is greenfield-FSM at the brand level, not a displacement fight. (3) Avoid mention of the PE-discrepancy (PitchBook vs readiness package on Trivium/Trivest) — let Joseph clarify if relevant. (4) Don’t claim Charles is your only credential — Charles is the warm path, but Mike’s operating expertise is the substance.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scratchpad</w:t>
            </w:r>
            <w:r>
              <w:rPr>
                <w:rFonts w:eastAsia="Cambria" w:cs=""/>
                <w:kern w:val="0"/>
                <w:sz w:val="24"/>
                <w:szCs w:val="24"/>
                <w:lang w:val="en-US" w:eastAsia="en-US" w:bidi="ar-SA"/>
              </w:rPr>
              <w:t xml:space="preserve"> </w:t>
            </w:r>
            <w:r>
              <w:rPr>
                <w:rFonts w:eastAsia="Cambria" w:cs=""/>
                <w:i/>
                <w:iCs/>
                <w:kern w:val="0"/>
                <w:sz w:val="24"/>
                <w:szCs w:val="24"/>
                <w:lang w:val="en-US" w:eastAsia="en-US" w:bidi="ar-SA"/>
              </w:rPr>
              <w:t>Free dump zone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Charles → Lexington intro request landed May 5 at 10:26 AM (15 min before lunch, fast turnaround = warm Charles-Lexington relationship). Lexington confirmed within 90 min — she’s clearly open to being a connector. Trahan responsiveness is unknown until intro forwards. Five Star is “FAST-CYCLE” character per v3 readiness — founder-led, single-decision-maker, fast cycle. The existing GPSI/Mosquito Shield customer overlap (Andrea pulling the list) is the Phase 1 entry that doesn’t need PE-side approval — both can run in parallel. If Trahan asks “what’s already in motion at the operator level,” the Mosquito Shield overlap is the credibility-building answer. </w:t>
            </w:r>
            <w:r>
              <w:rPr>
                <w:rFonts w:eastAsia="Cambria" w:cs=""/>
                <w:b/>
                <w:bCs/>
                <w:i/>
                <w:iCs/>
                <w:kern w:val="0"/>
                <w:sz w:val="24"/>
                <w:szCs w:val="24"/>
                <w:lang w:val="en-US" w:eastAsia="en-US" w:bidi="ar-SA"/>
              </w:rPr>
              <w:t>Response-gated coin send-out:</w:t>
            </w:r>
            <w:r>
              <w:rPr>
                <w:rFonts w:eastAsia="Cambria" w:cs=""/>
                <w:i/>
                <w:iCs/>
                <w:kern w:val="0"/>
                <w:sz w:val="24"/>
                <w:szCs w:val="24"/>
                <w:lang w:val="en-US" w:eastAsia="en-US" w:bidi="ar-SA"/>
              </w:rPr>
              <w:t xml:space="preserve"> when Lexington or Trahan responds, Charles asks for UPS address in response thread; Velocity GTM coins ship to both (2 coins total) with brief handwritten notes.</w:t>
            </w:r>
          </w:p>
        </w:tc>
      </w:tr>
    </w:tbl>
    <w:p>
      <w:pPr>
        <w:pStyle w:val="Normal"/>
        <w:rPr/>
      </w:pPr>
      <w:bookmarkStart w:id="8" w:name="tone-guardrails-avoid-landmines"/>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what-youll-get-back"/>
      <w:r>
        <w:rPr>
          <w:b/>
          <w:bCs/>
        </w:rPr>
        <w:t>WHAT YOU’LL GET BACK</w:t>
      </w:r>
    </w:p>
    <w:p>
      <w:pPr>
        <w:pStyle w:val="FirstParagraph"/>
        <w:rPr/>
      </w:pPr>
      <w:r>
        <w:rPr>
          <w:b/>
          <w:bCs/>
        </w:rPr>
        <w:t>1–2 page narrative tailored for a 15–30 minute first meeting:</w:t>
      </w:r>
    </w:p>
    <w:p>
      <w:pPr>
        <w:pStyle w:val="Compact"/>
        <w:numPr>
          <w:ilvl w:val="0"/>
          <w:numId w:val="1"/>
        </w:numPr>
        <w:rPr/>
      </w:pPr>
      <w:r>
        <w:rPr/>
        <w:t xml:space="preserve">Opener (60 sec) — compliment (Five Star CEO Q2 board-visit post + KidStrong “transformational brand” quote) + warm path (Charles → Lexington → Joseph) + why reaching out · </w:t>
      </w:r>
      <w:r>
        <w:rPr>
          <w:b/>
          <w:bCs/>
        </w:rPr>
        <w:t>NO personal-bridge moment — deliberate per discipline rule</w:t>
      </w:r>
    </w:p>
    <w:p>
      <w:pPr>
        <w:pStyle w:val="Compact"/>
        <w:numPr>
          <w:ilvl w:val="0"/>
          <w:numId w:val="1"/>
        </w:numPr>
        <w:rPr/>
      </w:pPr>
      <w:r>
        <w:rPr/>
        <w:t>Who I am (45 sec) — Velocity + ServiceBridge + business credibility marker</w:t>
      </w:r>
    </w:p>
    <w:p>
      <w:pPr>
        <w:pStyle w:val="Compact"/>
        <w:numPr>
          <w:ilvl w:val="0"/>
          <w:numId w:val="1"/>
        </w:numPr>
        <w:rPr/>
      </w:pPr>
      <w:r>
        <w:rPr/>
        <w:t>The frame (3 min) — origin story, Princeton’s franchise-investor specialization, Five Star’s unit-economics + new-lead-verticals thesis already endorsed at Q2 board</w:t>
      </w:r>
    </w:p>
    <w:p>
      <w:pPr>
        <w:pStyle w:val="Compact"/>
        <w:numPr>
          <w:ilvl w:val="0"/>
          <w:numId w:val="1"/>
        </w:numPr>
        <w:rPr/>
      </w:pPr>
      <w:r>
        <w:rPr/>
        <w:t>The math (5 min) — exit math: $2,500 EBITDA/tech/yr · $8 EBITDA per $1 spent · $80-100 exit value per $1 spent</w:t>
      </w:r>
    </w:p>
    <w:p>
      <w:pPr>
        <w:pStyle w:val="Compact"/>
        <w:numPr>
          <w:ilvl w:val="0"/>
          <w:numId w:val="1"/>
        </w:numPr>
        <w:rPr/>
      </w:pPr>
      <w:r>
        <w:rPr/>
        <w:t>The wedge (3 min) — Mosquito Shield wedge (400+ territories) · existing GPSI customer overlap as proof point · ProNexis pre-empt</w:t>
      </w:r>
    </w:p>
    <w:p>
      <w:pPr>
        <w:pStyle w:val="Compact"/>
        <w:numPr>
          <w:ilvl w:val="0"/>
          <w:numId w:val="1"/>
        </w:numPr>
        <w:rPr/>
      </w:pPr>
      <w:r>
        <w:rPr/>
        <w:t>The ask (60 sec) — Triangle ask: Abbott + White + Jones · single 30-min meeting · Charles + Mike co-lead</w:t>
      </w:r>
    </w:p>
    <w:p>
      <w:pPr>
        <w:pStyle w:val="Compact"/>
        <w:numPr>
          <w:ilvl w:val="0"/>
          <w:numId w:val="1"/>
        </w:numPr>
        <w:rPr/>
      </w:pPr>
      <w:r>
        <w:rPr/>
        <w:t>Page 2 (optional) — anticipated Q&amp;A bank, including the ProNexis pre-empt and the PitchBook PE-discrepancy clarifier</w:t>
      </w:r>
    </w:p>
    <w:p>
      <w:pPr>
        <w:pStyle w:val="FirstParagraph"/>
        <w:rPr/>
      </w:pPr>
      <w:r>
        <w:rPr>
          <w:b/>
          <w:bCs/>
        </w:rPr>
        <w:t>Existing 4-page prep doc:</w:t>
      </w:r>
      <w:r>
        <w:rPr/>
        <w:t xml:space="preserve"> </w:t>
      </w:r>
      <w:r>
        <w:rPr>
          <w:rStyle w:val="VerbatimChar"/>
        </w:rPr>
        <w:t>Joseph_Trahan_Meeting_Prep.docx</w:t>
      </w:r>
      <w:r>
        <w:rPr/>
        <w:t xml:space="preserve"> (May 5, 2026 final version) — refresh with this v2 intake form when intro forwards and meeting books.</w:t>
      </w:r>
    </w:p>
    <w:p>
      <w:pPr>
        <w:pStyle w:val="Normal"/>
        <w:rPr/>
      </w:pPr>
      <w:bookmarkStart w:id="10" w:name="what-youll-get-back"/>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X121199ae7bbf0a0ee263efb1fea03d63c7a8b34"/>
      <w:r>
        <w:rPr>
          <w:b/>
          <w:bCs/>
        </w:rPr>
        <w:t>What to update on next refresh (every few days)</w:t>
      </w:r>
    </w:p>
    <w:p>
      <w:pPr>
        <w:pStyle w:val="Compact"/>
        <w:numPr>
          <w:ilvl w:val="0"/>
          <w:numId w:val="4"/>
        </w:numPr>
        <w:rPr/>
      </w:pPr>
      <w:r>
        <w:rPr>
          <w:b/>
          <w:bCs/>
        </w:rPr>
        <w:t>CRM Signal Intel</w:t>
      </w:r>
      <w:r>
        <w:rPr/>
        <w:t xml:space="preserve"> — status of Lexington’s forward to Trahan (sent? accepted? meeting booked?)</w:t>
      </w:r>
    </w:p>
    <w:p>
      <w:pPr>
        <w:pStyle w:val="Compact"/>
        <w:numPr>
          <w:ilvl w:val="0"/>
          <w:numId w:val="5"/>
        </w:numPr>
        <w:rPr/>
      </w:pPr>
      <w:r>
        <w:rPr>
          <w:b/>
          <w:bCs/>
        </w:rPr>
        <w:t>Recent news / signal</w:t>
      </w:r>
      <w:r>
        <w:rPr/>
        <w:t xml:space="preserve"> — any new Five Star or Princeton activity, Joseph’s public quotes, any Five Star CEO LinkedIn posts</w:t>
      </w:r>
    </w:p>
    <w:p>
      <w:pPr>
        <w:pStyle w:val="Compact"/>
        <w:numPr>
          <w:ilvl w:val="0"/>
          <w:numId w:val="6"/>
        </w:numPr>
        <w:rPr/>
      </w:pPr>
      <w:r>
        <w:rPr>
          <w:b/>
          <w:bCs/>
        </w:rPr>
        <w:t>Specific context</w:t>
      </w:r>
      <w:r>
        <w:rPr/>
        <w:t xml:space="preserve"> — what’s changed since last update (Lexington forwarded? Trahan responded? PitchBook landed?)</w:t>
      </w:r>
    </w:p>
    <w:p>
      <w:pPr>
        <w:pStyle w:val="Compact"/>
        <w:numPr>
          <w:ilvl w:val="0"/>
          <w:numId w:val="7"/>
        </w:numPr>
        <w:rPr/>
      </w:pPr>
      <w:r>
        <w:rPr>
          <w:b/>
          <w:bCs/>
        </w:rPr>
        <w:t>Personal Bridge</w:t>
      </w:r>
      <w:r>
        <w:rPr/>
        <w:t xml:space="preserve"> — refresh ONLY if Joseph posts new personal signal that surfaces authentic crossover · otherwise stays blank</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 w:name="meeting-prep-intake-form"/>
      <w:bookmarkStart w:id="13" w:name="X121199ae7bbf0a0ee263efb1fea03d63c7a8b34"/>
      <w:r>
        <w:rPr>
          <w:i/>
          <w:iCs/>
        </w:rPr>
        <w:t>Velocity GTM Co LLC · Meeting Prep Intake Form v2 · Joseph Trahan · Princeton Equity Group · Refreshed May 12, 2026</w:t>
      </w:r>
      <w:bookmarkEnd w:id="12"/>
      <w:bookmarkEnd w:id="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2026-05-12T16:48:56Z</dcterms:created>
  <dc:creator/>
  <dc:description/>
  <dc:language>en-US</dc:language>
  <cp:lastModifiedBy/>
  <dcterms:modified xsi:type="dcterms:W3CDTF">2026-05-12T16:48:56Z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