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RESIBRANDS · GTM ENGAGEMENT READINESS</w:t>
      </w:r>
    </w:p>
    <w:p>
      <w:pPr>
        <w:pStyle w:val="BodyText"/>
        <w:rPr/>
      </w:pPr>
      <w:r>
        <w:rPr>
          <w:b/>
          <w:bCs/>
        </w:rPr>
        <w:t>RESIBRANDS</w:t>
      </w:r>
    </w:p>
    <w:p>
      <w:pPr>
        <w:pStyle w:val="BodyText"/>
        <w:rPr/>
      </w:pPr>
      <w:r>
        <w:rPr>
          <w:b/>
          <w:bCs/>
        </w:rPr>
        <w:t>GTM Engagement Readiness</w:t>
      </w:r>
    </w:p>
    <w:p>
      <w:pPr>
        <w:pStyle w:val="BodyText"/>
        <w:rPr/>
      </w:pPr>
      <w:r>
        <w:rPr>
          <w:b/>
          <w:bCs/>
        </w:rPr>
        <w:t>Rank #4 · WHALE HUNT WAVE 1 · FAST-CYCLE · Score 60.2 + Whale Override</w:t>
      </w:r>
    </w:p>
    <w:p>
      <w:pPr>
        <w:pStyle w:val="BodyText"/>
        <w:rPr/>
      </w:pPr>
      <w:r>
        <w:rPr>
          <w:i/>
          <w:iCs/>
        </w:rPr>
        <w:t>Single-decision-maker founder close · Trivium Global PE warm path · Codie Sanchez co-owner · capital-raise window opening</w:t>
      </w:r>
    </w:p>
    <w:p>
      <w:pPr>
        <w:pStyle w:val="Heading1"/>
        <w:rPr/>
      </w:pPr>
      <w:bookmarkStart w:id="0" w:name="my-read-on-this-one"/>
      <w:r>
        <w:rPr>
          <w:b/>
          <w:bCs/>
        </w:rPr>
        <w:t>My read on this one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ResiBrands sits at rank #4 — and why we promoted it to Whale Hunt Wave 1</w:t>
            </w:r>
            <w:r>
              <w:rPr>
                <w:rFonts w:eastAsia="Cambria" w:cs=""/>
                <w:kern w:val="0"/>
                <w:sz w:val="24"/>
                <w:szCs w:val="24"/>
                <w:lang w:val="en-US" w:eastAsia="en-US" w:bidi="ar-SA"/>
              </w:rPr>
              <w:t xml:space="preserve"> ResiBrands scored 60.2, FAST-CYCLE character. Founder-led — Steven Montgomery has single decision authority. ResiConnect is front-end only (lead routing/intake), NOT FSM. Franchisee-choice backend across all brands = no displacement fight. </w:t>
            </w:r>
            <w:r>
              <w:rPr>
                <w:rFonts w:eastAsia="Cambria" w:cs=""/>
                <w:b/>
                <w:bCs/>
                <w:kern w:val="0"/>
                <w:sz w:val="24"/>
                <w:szCs w:val="24"/>
                <w:lang w:val="en-US" w:eastAsia="en-US" w:bidi="ar-SA"/>
              </w:rPr>
              <w:t>CRITICAL CORRECTIONS in v3.1 (May 12):</w:t>
            </w:r>
            <w:r>
              <w:rPr>
                <w:rFonts w:eastAsia="Cambria" w:cs=""/>
                <w:kern w:val="0"/>
                <w:sz w:val="24"/>
                <w:szCs w:val="24"/>
                <w:lang w:val="en-US" w:eastAsia="en-US" w:bidi="ar-SA"/>
              </w:rPr>
              <w:t xml:space="preserve"> (1) </w:t>
            </w:r>
            <w:r>
              <w:rPr>
                <w:rFonts w:eastAsia="Cambria" w:cs=""/>
                <w:b/>
                <w:bCs/>
                <w:kern w:val="0"/>
                <w:sz w:val="24"/>
                <w:szCs w:val="24"/>
                <w:lang w:val="en-US" w:eastAsia="en-US" w:bidi="ar-SA"/>
              </w:rPr>
              <w:t>Cap table corrected</w:t>
            </w:r>
            <w:r>
              <w:rPr>
                <w:rFonts w:eastAsia="Cambria" w:cs=""/>
                <w:kern w:val="0"/>
                <w:sz w:val="24"/>
                <w:szCs w:val="24"/>
                <w:lang w:val="en-US" w:eastAsia="en-US" w:bidi="ar-SA"/>
              </w:rPr>
              <w:t xml:space="preserve"> — earlier draft said “Trivest + angel.” Verified May 12 via PitchBook, RESIBRANDS press, and Trivium Global portfolio: actual cap table is </w:t>
            </w:r>
            <w:r>
              <w:rPr>
                <w:rFonts w:eastAsia="Cambria" w:cs=""/>
                <w:b/>
                <w:bCs/>
                <w:kern w:val="0"/>
                <w:sz w:val="24"/>
                <w:szCs w:val="24"/>
                <w:lang w:val="en-US" w:eastAsia="en-US" w:bidi="ar-SA"/>
              </w:rPr>
              <w:t>Steven Montgomery (founder/CEO majority) + Allan Alarcon (cousin/CGO minority since 2019) + Trivium Global (small minority, transacting partner, Jonathan Patton-led, Austin TX) + Codie Sanchez / Contrarian Thinking (co-owner since 2024)</w:t>
            </w:r>
            <w:r>
              <w:rPr>
                <w:rFonts w:eastAsia="Cambria" w:cs=""/>
                <w:kern w:val="0"/>
                <w:sz w:val="24"/>
                <w:szCs w:val="24"/>
                <w:lang w:val="en-US" w:eastAsia="en-US" w:bidi="ar-SA"/>
              </w:rPr>
              <w:t xml:space="preserve">. Trivest is a SEPARATE firm and is NOT involved. (2) </w:t>
            </w:r>
            <w:r>
              <w:rPr>
                <w:rFonts w:eastAsia="Cambria" w:cs=""/>
                <w:b/>
                <w:bCs/>
                <w:kern w:val="0"/>
                <w:sz w:val="24"/>
                <w:szCs w:val="24"/>
                <w:lang w:val="en-US" w:eastAsia="en-US" w:bidi="ar-SA"/>
              </w:rPr>
              <w:t>Brand list corrected</w:t>
            </w:r>
            <w:r>
              <w:rPr>
                <w:rFonts w:eastAsia="Cambria" w:cs=""/>
                <w:kern w:val="0"/>
                <w:sz w:val="24"/>
                <w:szCs w:val="24"/>
                <w:lang w:val="en-US" w:eastAsia="en-US" w:bidi="ar-SA"/>
              </w:rPr>
              <w:t xml:space="preserve"> — actual ResiBrands brands are </w:t>
            </w:r>
            <w:r>
              <w:rPr>
                <w:rFonts w:eastAsia="Cambria" w:cs=""/>
                <w:b/>
                <w:bCs/>
                <w:kern w:val="0"/>
                <w:sz w:val="24"/>
                <w:szCs w:val="24"/>
                <w:lang w:val="en-US" w:eastAsia="en-US" w:bidi="ar-SA"/>
              </w:rPr>
              <w:t>That 1 Painter (~380 units), Garage Up, Pink’s Window Services</w:t>
            </w:r>
            <w:r>
              <w:rPr>
                <w:rFonts w:eastAsia="Cambria" w:cs=""/>
                <w:kern w:val="0"/>
                <w:sz w:val="24"/>
                <w:szCs w:val="24"/>
                <w:lang w:val="en-US" w:eastAsia="en-US" w:bidi="ar-SA"/>
              </w:rPr>
              <w:t xml:space="preserve">. Earlier draft also listed BoxDrop Mattress, Sploosh, Patch Boys — those are NOT ResiBrands brands. (3) </w:t>
            </w:r>
            <w:r>
              <w:rPr>
                <w:rFonts w:eastAsia="Cambria" w:cs=""/>
                <w:b/>
                <w:bCs/>
                <w:kern w:val="0"/>
                <w:sz w:val="24"/>
                <w:szCs w:val="24"/>
                <w:lang w:val="en-US" w:eastAsia="en-US" w:bidi="ar-SA"/>
              </w:rPr>
              <w:t>Whale Hunt strategic override applied May 11</w:t>
            </w:r>
            <w:r>
              <w:rPr>
                <w:rFonts w:eastAsia="Cambria" w:cs=""/>
                <w:kern w:val="0"/>
                <w:sz w:val="24"/>
                <w:szCs w:val="24"/>
                <w:lang w:val="en-US" w:eastAsia="en-US" w:bidi="ar-SA"/>
              </w:rPr>
              <w:t xml:space="preserve"> — ResiBrands is one of three Wave 1 targets (alongside Empower and Five Star). A single ~1,000-tech land = ~$300K Y1 ARR. Charles outreach to Jonathan Patton (Trivium MP) is the recommended PE warm path.</w:t>
            </w:r>
          </w:p>
        </w:tc>
      </w:tr>
    </w:tbl>
    <w:p>
      <w:pPr>
        <w:pStyle w:val="BodyText"/>
        <w:rPr/>
      </w:pPr>
      <w:r>
        <w:rPr>
          <w:b/>
          <w:bCs/>
        </w:rPr>
        <w:t>Where I’d land it</w:t>
      </w:r>
    </w:p>
    <w:p>
      <w:pPr>
        <w:pStyle w:val="Normal"/>
        <w:numPr>
          <w:ilvl w:val="0"/>
          <w:numId w:val="1"/>
        </w:numPr>
        <w:rPr/>
      </w:pPr>
      <w:r>
        <w:rPr/>
        <w:t>Single decision-maker in Steven Montgomery. Fast yes/no cycle.</w:t>
      </w:r>
    </w:p>
    <w:p>
      <w:pPr>
        <w:pStyle w:val="Normal"/>
        <w:numPr>
          <w:ilvl w:val="0"/>
          <w:numId w:val="1"/>
        </w:numPr>
        <w:rPr/>
      </w:pPr>
      <w:r>
        <w:rPr/>
        <w:t>ResiConnect is front-end only, not FSM. Franchisee-choice backend = no displacement fight.</w:t>
      </w:r>
    </w:p>
    <w:p>
      <w:pPr>
        <w:pStyle w:val="Normal"/>
        <w:numPr>
          <w:ilvl w:val="0"/>
          <w:numId w:val="1"/>
        </w:numPr>
        <w:rPr/>
      </w:pPr>
      <w:r>
        <w:rPr/>
        <w:t>That 1 Painter at ~380 units is where I think we wedge in.</w:t>
      </w:r>
    </w:p>
    <w:p>
      <w:pPr>
        <w:pStyle w:val="Normal"/>
        <w:numPr>
          <w:ilvl w:val="0"/>
          <w:numId w:val="1"/>
        </w:numPr>
        <w:rPr/>
      </w:pPr>
      <w:r>
        <w:rPr/>
        <w:t xml:space="preserve">Cap table is unique: </w:t>
      </w:r>
      <w:r>
        <w:rPr>
          <w:b/>
          <w:bCs/>
        </w:rPr>
        <w:t>Trivium Global is named transacting-partner PE-style (Jonathan Patton)</w:t>
      </w:r>
      <w:r>
        <w:rPr/>
        <w:t>. Codie Sanchez is high-profile co-owner. Founder Montgomery retains decision authority.</w:t>
      </w:r>
    </w:p>
    <w:p>
      <w:pPr>
        <w:pStyle w:val="Normal"/>
        <w:numPr>
          <w:ilvl w:val="0"/>
          <w:numId w:val="1"/>
        </w:numPr>
        <w:rPr/>
      </w:pPr>
      <w:r>
        <w:rPr/>
        <w:t xml:space="preserve">ResiBrands is in </w:t>
      </w:r>
      <w:r>
        <w:rPr>
          <w:b/>
          <w:bCs/>
        </w:rPr>
        <w:t>active capital-raise mode</w:t>
      </w:r>
      <w:r>
        <w:rPr/>
        <w:t xml:space="preserve"> — Montgomery publicly signaled 6-12 month strategic-individuals raise followed by institutional raise. Means platform-economics story matters MORE right now than mid-hold — perfect window for ServiceBridge value-creation pitch.</w:t>
      </w:r>
    </w:p>
    <w:p>
      <w:pPr>
        <w:pStyle w:val="Normal"/>
        <w:numPr>
          <w:ilvl w:val="0"/>
          <w:numId w:val="1"/>
        </w:numPr>
        <w:rPr/>
      </w:pPr>
      <w:bookmarkStart w:id="1" w:name="my-read-on-this-one"/>
      <w:r>
        <w:rPr/>
        <w:t>Run this in parallel with Five Star — both are fast-cycle, decision-maker-accessible. Empower is the strategic platform anchor of the Wave 1 trio.</w:t>
      </w:r>
      <w:bookmarkEnd w:id="1"/>
    </w:p>
    <w:p>
      <w:pPr>
        <w:pStyle w:val="Heading1"/>
        <w:rPr/>
      </w:pPr>
      <w:r>
        <w:rPr>
          <w:b/>
          <w:bCs/>
        </w:rPr>
        <w:t xml:space="preserve">📊 </w:t>
      </w:r>
      <w:r>
        <w:rPr>
          <w:b/>
          <w:bCs/>
        </w:rPr>
        <w:t>What we know — with sources</w:t>
      </w:r>
    </w:p>
    <w:p>
      <w:pPr>
        <w:pStyle w:val="FirstParagraph"/>
        <w:rPr/>
      </w:pPr>
      <w:r>
        <w:rPr/>
        <w:t>Core data points with confidence level, source, and verification date: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Point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Value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Confidence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Verified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brands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ResiBrands website + RESIBRANDS press May 12</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That 1 Painter locations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~380 units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FDD aggregator data + RESIBRANDS press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 count (network)</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~2,400 mid-point (range 1,800-3,000)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INDUSTRY_VERIFIED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Vertical-calibrated from That 1 Painter + Garage Up + Pink’s location counts × industry-typical techs/location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Portfolio FSM (front-end)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ResiConnect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ResiBrands corporate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layer (backend)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Franchisee-choice (likely)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UNCONFIRMED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Not publicly disclosed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Founder/CEO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Steven Montgomery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ResiBrands corporate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CGO + co-owner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Allan Alarcon (Montgomery’s cousin, minority since 2019)</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RESIBRANDS press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Co-owner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Codie Sanchez (since 2024)</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Sanchez announcement + ResiBrands That 1 Painter page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PE/transacting partner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Trivium Global (Jonathan Patton MP, Austin TX)</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PitchBook + RESIBRANDS press + Trivium Global portfolio page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Trivest involvement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 — separate firm, NOT involved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Disambiguation May 12 — earlier draft was wrong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of decision-makers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 primary (Montgomery) + 3 co-owners with stake influence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Cap-table research</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GPO Status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 formal GPO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Web research</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28</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Consumer/Commercial mix</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95%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INDUSTRY_VERIFIED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Brand portfolio — name reflects strategy (‘Resi’ = residential)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28</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Existing Telematics Solution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TBD — GPSI sales team to validate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ESTIMATED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GPS Insight customer database — pending sales team review</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28</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Capital-raise signal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fundraising mode 2024-2026</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Montgomery RESIBRANDS press — 6-12 month strategic-individuals raise followed by institutional raise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bookmarkStart w:id="2" w:name="what-we-know-with-sources"/>
            <w:bookmarkEnd w:id="2"/>
          </w:p>
        </w:tc>
      </w:tr>
    </w:tbl>
    <w:p>
      <w:pPr>
        <w:pStyle w:val="Heading1"/>
        <w:rPr/>
      </w:pPr>
      <w:r>
        <w:rPr>
          <w:b/>
          <w:bCs/>
        </w:rPr>
        <w:t xml:space="preserve">💰 </w:t>
      </w:r>
      <w:r>
        <w:rPr>
          <w:b/>
          <w:bCs/>
        </w:rPr>
        <w:t>PE exit math &amp; ROI — what we bring to the franchisor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matters to PE in one sentence</w:t>
            </w:r>
            <w:r>
              <w:rPr>
                <w:rFonts w:eastAsia="Cambria" w:cs=""/>
                <w:kern w:val="0"/>
                <w:sz w:val="24"/>
                <w:szCs w:val="24"/>
                <w:lang w:val="en-US" w:eastAsia="en-US" w:bidi="ar-SA"/>
              </w:rPr>
              <w:t xml:space="preserve"> Every $1 of franchisee-level EBITDA improvement converts to $10–14 of enterprise value at PE exit. A franchisor-funded FSM platform that costs $0.25 per $1 of EBITDA added delivers 40–50x ROI on invested capital over a typical hold period.</w:t>
            </w:r>
          </w:p>
        </w:tc>
      </w:tr>
    </w:tbl>
    <w:p>
      <w:pPr>
        <w:pStyle w:val="Heading2"/>
        <w:rPr/>
      </w:pPr>
      <w:r>
        <w:rPr>
          <w:b/>
          <w:bCs/>
        </w:rPr>
        <w:t>The exit multiple math</w:t>
      </w:r>
    </w:p>
    <w:p>
      <w:pPr>
        <w:pStyle w:val="FirstParagraph"/>
        <w:rPr/>
      </w:pPr>
      <w:r>
        <w:rPr/>
        <w:t>Home services franchisor exits consistently price at tech-enabled multiples: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Exit Category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EBITDA Multiple Range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Established home services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8–12x EBITDA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GF Data · PitchBook · industry benchmarks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Tech-enabled home services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10–14x EBITDA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Higher for proven tech-enabled platforms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2025 home services comp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17–18.5x EBITDA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Blackstone/Champions $2.5B (HVAC platform) · Goldman/Sila $1.7B</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Value creation breakdown (PE-era)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32% multiple expansion · 54% VCI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McKinsey / Bain PE value-creation studies</w:t>
            </w:r>
          </w:p>
        </w:tc>
      </w:tr>
    </w:tbl>
    <w:p>
      <w:pPr>
        <w:pStyle w:val="BodyText"/>
        <w:rPr/>
      </w:pPr>
      <w:r>
        <w:rPr>
          <w:i/>
          <w:iCs/>
        </w:rPr>
        <w:t>VCI = Value Creation Initiatives. FSM platform consolidation is a textbook VCI — directly improves franchisee unit economics, which flows through to franchisor royalty economics, which is what the PE buyer is paying for.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 note on the data</w:t>
            </w:r>
            <w:r>
              <w:rPr>
                <w:rFonts w:eastAsia="Cambria" w:cs=""/>
                <w:kern w:val="0"/>
                <w:sz w:val="24"/>
                <w:szCs w:val="24"/>
                <w:lang w:val="en-US" w:eastAsia="en-US" w:bidi="ar-SA"/>
              </w:rPr>
              <w:t xml:space="preserve"> PitchBook access is part of the broader May 5 ask to Andrea + Garrett. </w:t>
            </w:r>
            <w:r>
              <w:rPr>
                <w:rFonts w:eastAsia="Cambria" w:cs=""/>
                <w:b/>
                <w:bCs/>
                <w:kern w:val="0"/>
                <w:sz w:val="24"/>
                <w:szCs w:val="24"/>
                <w:lang w:val="en-US" w:eastAsia="en-US" w:bidi="ar-SA"/>
              </w:rPr>
              <w:t>If PitchBook lands, we use verified institutional transaction data in Patton, Montgomery, and Alarcon conversations</w:t>
            </w:r>
            <w:r>
              <w:rPr>
                <w:rFonts w:eastAsia="Cambria" w:cs=""/>
                <w:kern w:val="0"/>
                <w:sz w:val="24"/>
                <w:szCs w:val="24"/>
                <w:lang w:val="en-US" w:eastAsia="en-US" w:bidi="ar-SA"/>
              </w:rPr>
              <w:t xml:space="preserve"> — strongest possible credibility, particularly relevant for the capital-raise context where Montgomery will be having parallel conversations with institutional investors. </w:t>
            </w:r>
            <w:r>
              <w:rPr>
                <w:rFonts w:eastAsia="Cambria" w:cs=""/>
                <w:b/>
                <w:bCs/>
                <w:kern w:val="0"/>
                <w:sz w:val="24"/>
                <w:szCs w:val="24"/>
                <w:lang w:val="en-US" w:eastAsia="en-US" w:bidi="ar-SA"/>
              </w:rPr>
              <w:t>If PitchBook doesn’t land, we move forward with the industry-average benchmarks we already have</w:t>
            </w:r>
            <w:r>
              <w:rPr>
                <w:rFonts w:eastAsia="Cambria" w:cs=""/>
                <w:kern w:val="0"/>
                <w:sz w:val="24"/>
                <w:szCs w:val="24"/>
                <w:lang w:val="en-US" w:eastAsia="en-US" w:bidi="ar-SA"/>
              </w:rPr>
              <w:t xml:space="preserve"> (GF Data + PitchBook public summaries + 2025 home services comps like Blackstone/Champions $2.5B at 18.5x, Goldman/Sila $1.7B at 17-20x). The 89x leverage ratio holds either way. PitchBook is an upgrade on data presentation; it’s not a gating dependency on the conversation.</w:t>
            </w:r>
          </w:p>
        </w:tc>
      </w:tr>
    </w:tbl>
    <w:p>
      <w:pPr>
        <w:pStyle w:val="Heading2"/>
        <w:rPr/>
      </w:pPr>
      <w:r>
        <w:rPr>
          <w:b/>
          <w:bCs/>
        </w:rPr>
        <w:t>ResiBrands — franchisor-level ROI model</w:t>
      </w:r>
    </w:p>
    <w:p>
      <w:pPr>
        <w:pStyle w:val="FirstParagraph"/>
        <w:rPr/>
      </w:pPr>
      <w:r>
        <w:rPr/>
        <w:t>The model is straightforward — if ServiceBridge is adopted across ResiBrands’s network, what does that do to ResiBrands’s exit value?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Assumption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Math</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 EBITDA improvement from FSM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$8K/tech/year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Route efficiency · job density · billing capture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Network tech base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2,400 techs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Vertical-calibrated from corrected brand list (That 1 Painter + Garage Up + Pink’s)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Buy-in rate assumed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 (working baseline)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Conservative Phase 1-2 starting assumption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EBITDA improvement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$1.92M/yr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2,400 × 10% × $8K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Royalty pass-through (~6%)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$0.12M/yr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Typical franchisor royalty rate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Exit multiple applied (12x)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$1.38M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Franchisor-level exit value add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franchisee-level exit (10x)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$19.2M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Franchisee network enterprise value lift</w:t>
            </w:r>
          </w:p>
        </w:tc>
      </w:tr>
    </w:tbl>
    <w:p>
      <w:pPr>
        <w:pStyle w:val="BodyText"/>
        <w:rPr/>
      </w:pPr>
      <w:r>
        <w:rPr>
          <w:b/>
          <w:bCs/>
        </w:rPr>
        <w:t>What ServiceBridge asks for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Investment @ 10% buy-in (baseline)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Cumulative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 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$71,856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$71,856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 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$71,856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$143,712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 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$71,856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$215,568</w:t>
            </w:r>
          </w:p>
        </w:tc>
      </w:tr>
    </w:tbl>
    <w:p>
      <w:pPr>
        <w:pStyle w:val="BodyText"/>
        <w:rPr/>
      </w:pPr>
      <w:r>
        <w:rPr>
          <w:i/>
          <w:iCs/>
        </w:rPr>
        <w:t>Stretch case for context: at 25% buy-in, Year 1 ARR jumps to $179,640 and 3-year cumulative reaches $538,920. We don’t lead with this — 10% is our working baseline. 25% is what the math becomes if early wins compound.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ratio that lands this with PE</w:t>
            </w:r>
            <w:r>
              <w:rPr>
                <w:rFonts w:eastAsia="Cambria" w:cs=""/>
                <w:kern w:val="0"/>
                <w:sz w:val="24"/>
                <w:szCs w:val="24"/>
                <w:lang w:val="en-US" w:eastAsia="en-US" w:bidi="ar-SA"/>
              </w:rPr>
              <w:t xml:space="preserve"> At 10% buy-in for ResiBrands — our conservative working baseline — franchisee-level exit value creation is ~$19M (10% penetration × $8K/tech EBITDA × 10x multiple). 3-year cumulative ServiceBridge investment is ~$215.57K at 10% buy-in. The ratio of value created to platform cost is roughly 89x. This is the arithmetic that franchisor CFOs and PE operating partners use to evaluate platform initiatives — and 10% is intentionally the floor we set the conversation at, not the ceiling. </w:t>
            </w:r>
            <w:r>
              <w:rPr>
                <w:rFonts w:eastAsia="Cambria" w:cs=""/>
                <w:b/>
                <w:bCs/>
                <w:kern w:val="0"/>
                <w:sz w:val="24"/>
                <w:szCs w:val="24"/>
                <w:lang w:val="en-US" w:eastAsia="en-US" w:bidi="ar-SA"/>
              </w:rPr>
              <w:t>Crucially for ResiBrands: this math arrives at the right moment for Montgomery’s upcoming institutional capital raise — platform economics story = direct fundraise leverage.</w:t>
            </w:r>
          </w:p>
        </w:tc>
      </w:tr>
    </w:tbl>
    <w:p>
      <w:pPr>
        <w:pStyle w:val="BodyText"/>
        <w:rPr/>
      </w:pPr>
      <w:r>
        <w:rPr>
          <w:b/>
          <w:bCs/>
        </w:rPr>
        <w:t>How the math shifts with adoption</w:t>
      </w:r>
    </w:p>
    <w:p>
      <w:pPr>
        <w:pStyle w:val="BodyText"/>
        <w:rPr/>
      </w:pPr>
      <w:r>
        <w:rPr/>
        <w:t>At different network penetration rates, the franchisee-level exit value created by a ResiBrands ServiceBridge rollout scales: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Buy-in rate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Techs adopting</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EBITDA lift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Franchisee exit value (10x)</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 (working baseline)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$1.9M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$19M</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25% (stretch case)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$4.8M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$48M</w:t>
            </w:r>
          </w:p>
        </w:tc>
      </w:tr>
    </w:tbl>
    <w:p>
      <w:pPr>
        <w:pStyle w:val="Heading2"/>
        <w:rPr/>
      </w:pPr>
      <w:r>
        <w:rPr>
          <w:b/>
          <w:bCs/>
        </w:rPr>
        <w:t xml:space="preserve">🤝 </w:t>
      </w:r>
      <w:r>
        <w:rPr>
          <w:b/>
          <w:bCs/>
        </w:rPr>
        <w:t>The Network Partner Program — the franchisor-level offer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matters</w:t>
            </w:r>
            <w:r>
              <w:rPr>
                <w:rFonts w:eastAsia="Cambria" w:cs=""/>
                <w:kern w:val="0"/>
                <w:sz w:val="24"/>
                <w:szCs w:val="24"/>
                <w:lang w:val="en-US" w:eastAsia="en-US" w:bidi="ar-SA"/>
              </w:rPr>
              <w:t xml:space="preserve"> Beyond the franchisee-level math, ServiceBridge offers the franchisor itself a structured Network Partner Program. This is the franchisor’s lever — when they recommend ServiceBridge as a network FSM tool, they unlock five tiers of value that go far beyond simple pricing. The math gets stronger; the franchisor gets a tech-forward growth story to bring to their franchisees, their board, and their PE; and the network gets real operational and economic uplift. </w:t>
            </w:r>
            <w:r>
              <w:rPr>
                <w:rFonts w:eastAsia="Cambria" w:cs=""/>
                <w:b/>
                <w:bCs/>
                <w:kern w:val="0"/>
                <w:sz w:val="24"/>
                <w:szCs w:val="24"/>
                <w:lang w:val="en-US" w:eastAsia="en-US" w:bidi="ar-SA"/>
              </w:rPr>
              <w:t>Pricing is the ticket of entry — value creation is the differentiator.</w:t>
            </w:r>
          </w:p>
        </w:tc>
      </w:tr>
    </w:tbl>
    <w:p>
      <w:pPr>
        <w:pStyle w:val="BodyText"/>
        <w:rPr/>
      </w:pPr>
      <w:r>
        <w:rPr/>
        <w:t>The Program is structured in five tiers. The franchisor doesn’t have to take all five — but each one independently moves the needle on value creation.</w:t>
      </w:r>
    </w:p>
    <w:p>
      <w:pPr>
        <w:pStyle w:val="Heading3"/>
        <w:rPr/>
      </w:pPr>
      <w:bookmarkStart w:id="3" w:name="tier-1-preferred-pricing"/>
      <w:r>
        <w:rPr>
          <w:b/>
          <w:bCs/>
        </w:rPr>
        <w:t>Tier 1 · Preferred Pricing</w:t>
      </w:r>
    </w:p>
    <w:p>
      <w:pPr>
        <w:pStyle w:val="FirstParagraph"/>
        <w:rPr/>
      </w:pPr>
      <w:r>
        <w:rPr/>
        <w:t xml:space="preserve">Network-discounted ServiceBridge rates across all participating franchisees. Specific discount tied to volume commitment — calibrated per network during the partnership conversation. </w:t>
      </w:r>
      <w:r>
        <w:rPr>
          <w:b/>
          <w:bCs/>
        </w:rPr>
        <w:t>This is the ticket of entry — what every franchisor expects from a network-recommended vendor.</w:t>
      </w:r>
      <w:r>
        <w:rPr/>
        <w:t xml:space="preserve"> Pricing is the floor of the conversation, not the ceiling.</w:t>
      </w:r>
      <w:bookmarkEnd w:id="3"/>
    </w:p>
    <w:p>
      <w:pPr>
        <w:pStyle w:val="Heading3"/>
        <w:rPr/>
      </w:pPr>
      <w:bookmarkStart w:id="4" w:name="tier-2-implementation-support"/>
      <w:r>
        <w:rPr>
          <w:b/>
          <w:bCs/>
        </w:rPr>
        <w:t>Tier 2 · Implementation Support</w:t>
      </w:r>
    </w:p>
    <w:p>
      <w:pPr>
        <w:pStyle w:val="FirstParagraph"/>
        <w:rPr/>
      </w:pPr>
      <w:r>
        <w:rPr/>
        <w:t xml:space="preserve">Dedicated onboarding team. Franchisor-branded training materials. Customized adoption playbook drawing on the BELFOR/HOODZ 94% adoption methodology applied to the specific network. </w:t>
      </w:r>
      <w:r>
        <w:rPr>
          <w:b/>
          <w:bCs/>
        </w:rPr>
        <w:t>This is where most franchisor-recommended tools fail — adoption.</w:t>
      </w:r>
      <w:r>
        <w:rPr/>
        <w:t xml:space="preserve"> ServiceBridge takes adoption ownership: we make it the franchisor’s problem solved, not the franchisor’s problem to manage. Removes the most common reason platform initiatives stall after the contract is signed.</w:t>
      </w:r>
      <w:bookmarkEnd w:id="4"/>
    </w:p>
    <w:p>
      <w:pPr>
        <w:pStyle w:val="Heading3"/>
        <w:rPr/>
      </w:pPr>
      <w:bookmarkStart w:id="5" w:name="tier-3-data-analytics"/>
      <w:r>
        <w:rPr>
          <w:b/>
          <w:bCs/>
        </w:rPr>
        <w:t>Tier 3 · Data &amp; Analytics</w:t>
      </w:r>
    </w:p>
    <w:p>
      <w:pPr>
        <w:pStyle w:val="FirstParagraph"/>
        <w:rPr/>
      </w:pPr>
      <w:r>
        <w:rPr/>
        <w:t xml:space="preserve">Franchisor-level dashboard across all participating franchisees. Unit-economics visibility. Benchmark reporting against industry standards. Trend analysis. Anomaly flagging. </w:t>
      </w:r>
      <w:r>
        <w:rPr>
          <w:b/>
          <w:bCs/>
        </w:rPr>
        <w:t>This directly answers what franchisor CEOs have publicly said they want.</w:t>
      </w:r>
      <w:r>
        <w:rPr/>
        <w:t xml:space="preserve"> Zide’s stated AI/data warehouse initiative. Abbott’s “improving unit-level economics” thesis. Montgomery’s institutional-raise narrative. Every PE-backed franchisor is being asked by their board: </w:t>
      </w:r>
      <w:r>
        <w:rPr>
          <w:i/>
          <w:iCs/>
        </w:rPr>
        <w:t>“What do you know about unit-level economics across your network?”</w:t>
      </w:r>
      <w:r>
        <w:rPr/>
        <w:t xml:space="preserve"> ServiceBridge becomes the answer to that question.</w:t>
      </w:r>
      <w:bookmarkEnd w:id="5"/>
    </w:p>
    <w:p>
      <w:pPr>
        <w:pStyle w:val="Heading3"/>
        <w:rPr/>
      </w:pPr>
      <w:bookmarkStart w:id="6" w:name="tier-4-co-marketing"/>
      <w:r>
        <w:rPr>
          <w:b/>
          <w:bCs/>
        </w:rPr>
        <w:t>Tier 4 · Co-Marketing</w:t>
      </w:r>
    </w:p>
    <w:p>
      <w:pPr>
        <w:pStyle w:val="FirstParagraph"/>
        <w:rPr/>
      </w:pPr>
      <w:r>
        <w:rPr/>
        <w:t xml:space="preserve">Joint case studies. Franchisor-branded ServiceBridge content. Co-branded webinars and thought leadership. Presence at franchisor annual meetings (Empower Ignite, Five Star Home Services Summit, ResiBrands events). </w:t>
      </w:r>
      <w:r>
        <w:rPr>
          <w:b/>
          <w:bCs/>
        </w:rPr>
        <w:t>Feeds the franchisor’s PE narrative as a tech-forward operator.</w:t>
      </w:r>
      <w:r>
        <w:rPr/>
        <w:t xml:space="preserve"> Creates franchisee-facing proof points that make the network look modern. Builds the franchisor’s brand alongside ours — mutual amplification.</w:t>
      </w:r>
      <w:bookmarkEnd w:id="6"/>
    </w:p>
    <w:p>
      <w:pPr>
        <w:pStyle w:val="Heading3"/>
        <w:rPr/>
      </w:pPr>
      <w:bookmarkStart w:id="7" w:name="tier-5-volume-rebate-structure"/>
      <w:r>
        <w:rPr>
          <w:b/>
          <w:bCs/>
        </w:rPr>
        <w:t>Tier 5 · Volume Rebate Structure</w:t>
      </w:r>
    </w:p>
    <w:p>
      <w:pPr>
        <w:pStyle w:val="FirstParagraph"/>
        <w:rPr/>
      </w:pPr>
      <w:r>
        <w:rPr/>
        <w:t xml:space="preserve">Rebate to the franchisor at volume thresholds. Specific structure calibrated per network — typically a percentage of total network spend above a defined license threshold. </w:t>
      </w:r>
      <w:r>
        <w:rPr>
          <w:b/>
          <w:bCs/>
        </w:rPr>
        <w:t>This turns ServiceBridge from a vendor expense into a network revenue stream for the franchisor.</w:t>
      </w:r>
      <w:r>
        <w:rPr/>
        <w:t xml:space="preserve"> GPO-style economics: the franchisor earns alongside their franchisees as adoption scales. Optional but powerful — particularly for franchisors with active capital-raise narratives or exit windows opening, because the rebate flows directly into franchisor-level EBITDA.</w:t>
      </w:r>
      <w:bookmarkEnd w:id="7"/>
    </w:p>
    <w:p>
      <w:pPr>
        <w:pStyle w:val="Heading3"/>
        <w:rPr/>
      </w:pPr>
      <w:r>
        <w:rPr>
          <w:b/>
          <w:bCs/>
        </w:rPr>
        <w:t>How the tiers combine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the franchisor commits</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the franchisor gets back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Recommendation status (we become a network-recommended FSM tool)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1 discount visible to all franchisees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Communication to network at corporate events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2 adoption ownership · franchisor doesn’t drive change management alone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Catalog listing / preferred-vendor designation (where applicable)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3 data dashboard answers the unit-economics question PE wants answered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Joint marketing presence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4 brand amplification feeds the franchisor’s PE narrative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Volume threshold met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5 rebate becomes franchisor EBITDA</w:t>
            </w:r>
          </w:p>
        </w:tc>
      </w:tr>
    </w:tbl>
    <w:p>
      <w:pPr>
        <w:pStyle w:val="BodyText"/>
        <w:rPr/>
      </w:pPr>
      <w:r>
        <w:rPr>
          <w:b/>
          <w:bCs/>
        </w:rPr>
        <w:t>No exclusivity required.</w:t>
      </w:r>
      <w:r>
        <w:rPr/>
        <w:t xml:space="preserve"> The Network Partner Program doesn’t lock the franchisor out of other vendor relationships. It’s an opt-in value layer for franchisees who choose ServiceBridge.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asymmetry that lands this with the franchisor</w:t>
            </w:r>
            <w:r>
              <w:rPr>
                <w:rFonts w:eastAsia="Cambria" w:cs=""/>
                <w:kern w:val="0"/>
                <w:sz w:val="24"/>
                <w:szCs w:val="24"/>
                <w:lang w:val="en-US" w:eastAsia="en-US" w:bidi="ar-SA"/>
              </w:rPr>
              <w:t xml:space="preserve"> Pure cash outlay from the franchisor: </w:t>
            </w:r>
            <w:r>
              <w:rPr>
                <w:rFonts w:eastAsia="Cambria" w:cs=""/>
                <w:b/>
                <w:bCs/>
                <w:kern w:val="0"/>
                <w:sz w:val="24"/>
                <w:szCs w:val="24"/>
                <w:lang w:val="en-US" w:eastAsia="en-US" w:bidi="ar-SA"/>
              </w:rPr>
              <w:t>zero.</w:t>
            </w:r>
            <w:r>
              <w:rPr>
                <w:rFonts w:eastAsia="Cambria" w:cs=""/>
                <w:kern w:val="0"/>
                <w:sz w:val="24"/>
                <w:szCs w:val="24"/>
                <w:lang w:val="en-US" w:eastAsia="en-US" w:bidi="ar-SA"/>
              </w:rPr>
              <w:t xml:space="preserve"> They make a recommendation. We bring the team, the data, the marketing, and (optionally) a revenue stream back to them. Their franchisees get better economics. Their PE owner gets a value-creation story. Their network gets modernized. </w:t>
            </w:r>
            <w:r>
              <w:rPr>
                <w:rFonts w:eastAsia="Cambria" w:cs=""/>
                <w:b/>
                <w:bCs/>
                <w:kern w:val="0"/>
                <w:sz w:val="24"/>
                <w:szCs w:val="24"/>
                <w:lang w:val="en-US" w:eastAsia="en-US" w:bidi="ar-SA"/>
              </w:rPr>
              <w:t>The franchisor’s only investment is the decision itself.</w:t>
            </w:r>
            <w:bookmarkStart w:id="8" w:name="how-the-tiers-combine"/>
            <w:bookmarkEnd w:id="8"/>
          </w:p>
        </w:tc>
      </w:tr>
    </w:tbl>
    <w:p>
      <w:pPr>
        <w:pStyle w:val="Heading1"/>
        <w:rPr/>
      </w:pPr>
      <w:r>
        <w:rPr>
          <w:b/>
          <w:bCs/>
        </w:rPr>
        <w:t xml:space="preserve">🎯 </w:t>
      </w:r>
      <w:r>
        <w:rPr>
          <w:b/>
          <w:bCs/>
        </w:rPr>
        <w:t>How we engage</w:t>
      </w:r>
    </w:p>
    <w:p>
      <w:pPr>
        <w:pStyle w:val="Heading2"/>
        <w:rPr/>
      </w:pPr>
      <w:bookmarkStart w:id="9" w:name="engagement-urgency-assessment"/>
      <w:r>
        <w:rPr>
          <w:b/>
          <w:bCs/>
        </w:rPr>
        <w:t>Engagement urgency assessment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URGENCY SCORE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TIME-TO-ENGAGE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STRATEGIC RANK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9 / 15 + WHALE OVERRIDE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NEAR-TERM (Wks 1-9)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 of 7 · WHALE HUNT WAVE 1</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Whale Hunt Activation — strategic override</w:t>
            </w:r>
            <w:r>
              <w:rPr>
                <w:rFonts w:eastAsia="Cambria" w:cs=""/>
                <w:kern w:val="0"/>
                <w:sz w:val="24"/>
                <w:szCs w:val="24"/>
                <w:lang w:val="en-US" w:eastAsia="en-US" w:bidi="ar-SA"/>
              </w:rPr>
              <w:t xml:space="preserve"> ResiBrands is one of three Wave 1 whale-hunt targets (alongside Empower and Five Star). Strategic decision: prioritize ahead of what the 5-signal urgency model alone would suggest. The math is that a single ~1,000-tech land at ResiBrands equals ~$300K Y1 ARR — the same as 12 mid-market deals. </w:t>
            </w:r>
            <w:r>
              <w:rPr>
                <w:rFonts w:eastAsia="Cambria" w:cs=""/>
                <w:b/>
                <w:bCs/>
                <w:kern w:val="0"/>
                <w:sz w:val="24"/>
                <w:szCs w:val="24"/>
                <w:lang w:val="en-US" w:eastAsia="en-US" w:bidi="ar-SA"/>
              </w:rPr>
              <w:t>Critical timing leverage:</w:t>
            </w:r>
            <w:r>
              <w:rPr>
                <w:rFonts w:eastAsia="Cambria" w:cs=""/>
                <w:kern w:val="0"/>
                <w:sz w:val="24"/>
                <w:szCs w:val="24"/>
                <w:lang w:val="en-US" w:eastAsia="en-US" w:bidi="ar-SA"/>
              </w:rPr>
              <w:t xml:space="preserve"> Montgomery is in active capital-raise mode (signaled 6-12 month strategic-individuals raise followed by institutional raise). Platform-economics story matters MORE right now than it will mid-hold. This is the rare moment when the founder’s incentive structure aligns perfectly with our value-creation pitch. </w:t>
            </w:r>
            <w:r>
              <w:rPr>
                <w:rFonts w:eastAsia="Cambria" w:cs=""/>
                <w:b/>
                <w:bCs/>
                <w:kern w:val="0"/>
                <w:sz w:val="24"/>
                <w:szCs w:val="24"/>
                <w:lang w:val="en-US" w:eastAsia="en-US" w:bidi="ar-SA"/>
              </w:rPr>
              <w:t>Charles outreach to Jonathan Patton (Trivium MP) is the recommended PE warm path</w:t>
            </w:r>
            <w:r>
              <w:rPr>
                <w:rFonts w:eastAsia="Cambria" w:cs=""/>
                <w:kern w:val="0"/>
                <w:sz w:val="24"/>
                <w:szCs w:val="24"/>
                <w:lang w:val="en-US" w:eastAsia="en-US" w:bidi="ar-SA"/>
              </w:rPr>
              <w:t xml:space="preserve"> — see Phase 1 actions below.</w:t>
            </w:r>
          </w:p>
        </w:tc>
      </w:tr>
    </w:tbl>
    <w:p>
      <w:pPr>
        <w:pStyle w:val="BodyText"/>
        <w:rPr/>
      </w:pPr>
      <w:r>
        <w:rPr>
          <w:b/>
          <w:bCs/>
        </w:rPr>
        <w:t>Why this urgency score — 5-signal breakdown (refreshed for whale hunt)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score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Leadership transition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Codie Sanchez co-owner since 2024 (recent), capital raises imminent (6-12 month strategic-individuals window, 12-24 month institutional window). Founder-CEO Montgomery still in driving seat, but ownership structure is dynamically forming = receptive to new platform conversations.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In-window event presence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ResiBrands target confirmed at FCXC. IFA Emerging Franchisor Conference Nov 16-18 2026 is the locked engagement opportunity. ResiBrands ecosystem more active in Sanchez’s Contrarian Thinking content channels than industry events.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buying-mode signals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Capital-raise mode = high platform-economics receptivity. Sanchez ecosystem highly active publicly. Montgomery operates founder-driven decision style — fast yes/no. Brand momentum signals ‘in build mode’ and active receptivity to value creation levers.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Existing access vector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Trivium Global / Jonathan Patton named PE-style warm path = direct, named human relationship. Sanchez accessibility via Contrarian Thinking ecosystem is secondary access vector. Codie Sanchez deliberately NOT primary outreach (cap-table dynamics — see Tone &amp; Guardrails). </w:t>
            </w:r>
            <w:r>
              <w:rPr>
                <w:rFonts w:eastAsia="Cambria" w:cs=""/>
                <w:i/>
                <w:iCs/>
                <w:kern w:val="0"/>
                <w:sz w:val="24"/>
                <w:szCs w:val="24"/>
                <w:lang w:val="en-US" w:eastAsia="en-US" w:bidi="ar-SA"/>
              </w:rPr>
              <w:t>Score conditional on Charles outreach to Patton landing — drops to 1/3 if Patton doesn’t engage.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vendor evaluation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specific public RFP. ResiConnect is front-end only, no FSM displacement fight. Franchisee-choice backend across all 3 brands = greenfield platform play, not displacement. Capital-raise window makes platform conversations active.</w:t>
            </w:r>
          </w:p>
        </w:tc>
      </w:tr>
    </w:tbl>
    <w:p>
      <w:pPr>
        <w:pStyle w:val="BodyText"/>
        <w:rPr/>
      </w:pPr>
      <w:r>
        <w:rPr>
          <w:b/>
          <w:bCs/>
        </w:rPr>
        <w:t>Whale-hunt target outcome:</w:t>
      </w:r>
      <w:r>
        <w:rPr/>
        <w:t xml:space="preserve"> ~1,000 techs Y1 = ~$299.4K ARR · 90-day close window from Day 0 (May 11, 2026)</w:t>
      </w:r>
      <w:bookmarkEnd w:id="9"/>
    </w:p>
    <w:p>
      <w:pPr>
        <w:pStyle w:val="Heading2"/>
        <w:rPr/>
      </w:pPr>
      <w:r>
        <w:rPr>
          <w:b/>
          <w:bCs/>
        </w:rPr>
        <w:t>Where this one sits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ResiBrands is ranked 4 of 7 P1 targets — character: FAST-CYCLE + WHALE HUNT WAVE 1</w:t>
            </w:r>
            <w:r>
              <w:rPr>
                <w:rFonts w:eastAsia="Cambria" w:cs=""/>
                <w:kern w:val="0"/>
                <w:sz w:val="24"/>
                <w:szCs w:val="24"/>
                <w:lang w:val="en-US" w:eastAsia="en-US" w:bidi="ar-SA"/>
              </w:rPr>
              <w:t xml:space="preserve"> FAST-CYCLE character. Founder-led, single primary decision-maker, fast yes/no. Capital-raise mode adds urgency. Whale Hunt Wave 1 promotion adds capacity priority. Tactical close, but timed against Montgomery’s institutional raise = strategic significance amplified.</w:t>
            </w:r>
            <w:bookmarkStart w:id="10" w:name="where-this-one-sits"/>
            <w:bookmarkEnd w:id="10"/>
          </w:p>
        </w:tc>
      </w:tr>
    </w:tbl>
    <w:p>
      <w:pPr>
        <w:pStyle w:val="Heading2"/>
        <w:rPr/>
      </w:pPr>
      <w:r>
        <w:rPr>
          <w:b/>
          <w:bCs/>
        </w:rPr>
        <w:t>Where I think we wedge in</w:t>
      </w:r>
    </w:p>
    <w:p>
      <w:pPr>
        <w:pStyle w:val="FirstParagraph"/>
        <w:rPr/>
      </w:pPr>
      <w:r>
        <w:rPr/>
        <w:t>That 1 Painter (~380 units) is the lead wedge — painter franchisees are fleet-enabled and benefit from route optimization. One conversation with Montgomery determines the entire ResiBrands story.</w:t>
      </w:r>
    </w:p>
    <w:p>
      <w:pPr>
        <w:pStyle w:val="Normal"/>
        <w:numPr>
          <w:ilvl w:val="0"/>
          <w:numId w:val="5"/>
        </w:numPr>
        <w:rPr/>
      </w:pPr>
      <w:r>
        <w:rPr/>
        <w:t>That 1 Painter multi-franchisee pilot — economics proof in 90 days.</w:t>
      </w:r>
    </w:p>
    <w:p>
      <w:pPr>
        <w:pStyle w:val="Normal"/>
        <w:numPr>
          <w:ilvl w:val="0"/>
          <w:numId w:val="6"/>
        </w:numPr>
        <w:rPr/>
      </w:pPr>
      <w:r>
        <w:rPr/>
        <w:t>Roll to other ResiBrands concepts (Garage Up, Pink’s) after proof point.</w:t>
      </w:r>
    </w:p>
    <w:p>
      <w:pPr>
        <w:pStyle w:val="Normal"/>
        <w:numPr>
          <w:ilvl w:val="0"/>
          <w:numId w:val="7"/>
        </w:numPr>
        <w:rPr/>
      </w:pPr>
      <w:r>
        <w:rPr/>
        <w:t>Positioning: ‘ServiceBridge sits behind ResiConnect’ — complement, not replacement.</w:t>
      </w:r>
    </w:p>
    <w:p>
      <w:pPr>
        <w:pStyle w:val="Normal"/>
        <w:numPr>
          <w:ilvl w:val="0"/>
          <w:numId w:val="8"/>
        </w:numPr>
        <w:rPr/>
      </w:pPr>
      <w:r>
        <w:rPr/>
        <w:t>Trivium Global network + capital-raise context = warm-path leverage points that didn’t exist 6 months ago.</w:t>
      </w:r>
    </w:p>
    <w:p>
      <w:pPr>
        <w:pStyle w:val="Heading2"/>
        <w:rPr/>
      </w:pPr>
      <w:r>
        <w:rPr/>
        <w:t>Warm path &amp; contact intel — v15.36 CRM sync (refreshed May 12)</w:t>
      </w:r>
    </w:p>
    <w:p>
      <w:pPr>
        <w:pStyle w:val="FirstParagraph"/>
        <w:rPr/>
      </w:pPr>
      <w:r>
        <w:rPr>
          <w:i/>
          <w:iCs/>
        </w:rPr>
        <w:t>Top contacts plus warm-path status. 🟢 active warm angle · 🟡 status change to verify · 🔵 queued, not yet engaged · 🟣 team assignment.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Name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LinkedIn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Background</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Warm-Path Status / Notes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Steven Montgomery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Founder &amp; CEO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steven-montgomery-resibrands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House painter background · 11 years on the brush before founding That 1 Painter in 2011 · Round Rock TX (Austin metro) · son of a professional painter · married, father · “American Dream” framing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PRIMARY DECISION AUTHORITY · Queued: Coin send-out gated on Patton outreach response (via Patton hand-delivery ask) · America 250 letter decision deferred per stage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Allan Alarcon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Co-Owner &amp; Chief Growth Officer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allan-alarcon-resibrands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Steven’s cousin · joined 2019 as minority stakeholder · family business dynamic</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Coin send-out (parallel with Steven) · Phase 1 secondary contact for triangle ask</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Codie Sanchez</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Co-Owner (since 2024) · Founder Contrarian Thinking · MD Entourage Effect Capital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codiesanchez</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Investment management + private equity background · “boring businesses” wealth thesis · public personality · IFA26 speaker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HIGH-PROFILE CO-OWNER but NOT the outreach path · Queued: Coin send-out (parallel) · Watch-out: Charles outreach to Patton should NOT mention Codie · Cap-table dynamics — Patton small minority, Codie celebrity co-owner</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Jonathan Patton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Managing Partner &amp; Founder, Trivium Global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jonathan-patton-trivium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Citadel BS Civil Engineering 1999-2003 (military college) · Austin TX based · Christian-faith stewardship public framing · prior Green Capital Ltd, Karaka Pines Villages, 3D Capital, Legacy Holdings · founded Trivium 2015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PE-SIDE WARM PATH TARGET · Charles outreach RECOMMENDED (not yet sent — gated on Mike-Charles conversation about path) · Personal Bridge ⭐⭐ (Citadel + military-family) · Filled intake form in Meeting Prep section · Patton’s incentive: structural alignment with capital-raise narrative</w:t>
            </w:r>
            <w:bookmarkStart w:id="11" w:name="Xfe184ad71d8c8e791847cf4c3a4497d759b396c"/>
            <w:bookmarkEnd w:id="11"/>
          </w:p>
        </w:tc>
      </w:tr>
    </w:tbl>
    <w:p>
      <w:pPr>
        <w:pStyle w:val="Heading1"/>
        <w:rPr/>
      </w:pPr>
      <w:r>
        <w:rPr/>
        <w:t xml:space="preserve">📞 </w:t>
      </w:r>
      <w:r>
        <w:rPr>
          <w:b/>
          <w:bCs/>
        </w:rPr>
        <w:t>Outreach plan &amp; sequencing — WHALE HUNT WAVE 1</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 May 12, 2026</w:t>
            </w:r>
            <w:r>
              <w:rPr>
                <w:rFonts w:eastAsia="Cambria" w:cs=""/>
                <w:kern w:val="0"/>
                <w:sz w:val="24"/>
                <w:szCs w:val="24"/>
                <w:lang w:val="en-US" w:eastAsia="en-US" w:bidi="ar-SA"/>
              </w:rPr>
              <w:t xml:space="preserve"> Whale Hunt Wave 1 activated. </w:t>
            </w:r>
            <w:r>
              <w:rPr>
                <w:rFonts w:eastAsia="Cambria" w:cs=""/>
                <w:b/>
                <w:bCs/>
                <w:kern w:val="0"/>
                <w:sz w:val="24"/>
                <w:szCs w:val="24"/>
                <w:lang w:val="en-US" w:eastAsia="en-US" w:bidi="ar-SA"/>
              </w:rPr>
              <w:t>No outreach to ResiBrands has been delivered yet.</w:t>
            </w:r>
            <w:r>
              <w:rPr>
                <w:rFonts w:eastAsia="Cambria" w:cs=""/>
                <w:kern w:val="0"/>
                <w:sz w:val="24"/>
                <w:szCs w:val="24"/>
                <w:lang w:val="en-US" w:eastAsia="en-US" w:bidi="ar-SA"/>
              </w:rPr>
              <w:t xml:space="preserve"> Charles outreach to Patton is recommended, gated on Mike-Charles conversation about path first. Once Patton engages, coin send-out follows to all four ResiBrands principals (Patton, Montgomery, Alarcon, Sanchez) with America 250 letter decision deferred per stage. Action tables below organize the 13-week sequence in 3 phases: Activate → Engage → Close.</w:t>
            </w:r>
          </w:p>
        </w:tc>
      </w:tr>
    </w:tbl>
    <w:p>
      <w:pPr>
        <w:pStyle w:val="Heading2"/>
        <w:rPr/>
      </w:pPr>
      <w:r>
        <w:rPr>
          <w:b/>
          <w:bCs/>
        </w:rPr>
        <w:t>The three tridents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Trident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Wedge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Ladder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 Intro Trident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Trivium Global warm intro via Charles peer-CEO outreach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 Jonathan Patton (MP Trivium) → Steven Montgomery + Allan Alarcon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Wedge Brand Trident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That 1 Painter (~380 units) — fleet-enabled painters, route-density bundle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Operator-level inbound signal → upstream awareness at Montgomery level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Founder-Direct Trident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Coin + handwritten note + capital-raise context · alternate path if PE-side stalls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 co-signed direct to Montgomery</w:t>
            </w:r>
          </w:p>
        </w:tc>
      </w:tr>
    </w:tbl>
    <w:p>
      <w:pPr>
        <w:pStyle w:val="Heading2"/>
        <w:rPr/>
      </w:pPr>
      <w:r>
        <w:rPr>
          <w:b/>
          <w:bCs/>
        </w:rPr>
        <w:t>Recommended warm-up tactics — coin + America 250 letter sequencing</w:t>
      </w:r>
    </w:p>
    <w:p>
      <w:pPr>
        <w:pStyle w:val="FirstParagraph"/>
        <w:rPr/>
      </w:pPr>
      <w:r>
        <w:rPr/>
        <w:t xml:space="preserve">The coin send-out for ResiBrands is the strongest non-Empower play in our Wave 1 toolkit. ResiBrands culture (founder-led, Texas, trades-pride, Codie’s “Main Street” Americana thesis) makes the challenge coin a perfect-fit physical touch. </w:t>
      </w:r>
      <w:r>
        <w:rPr>
          <w:b/>
          <w:bCs/>
        </w:rPr>
        <w:t>Sequencing — coin first as standalone touch with brief handwritten notes, America 250 letter decision deferred per how the Patton conversation develops.</w:t>
      </w:r>
      <w:r>
        <w:rPr/>
        <w:t xml:space="preserve"> All four owners receive coins. Charles uses his Patton outreach to ASK Patton if he’d hand-deliver a coin to Steven Montgomery — that turns Patton into a co-conspirator in the introduction, raising his investment in the relationship before any meeting happens.</w:t>
      </w:r>
    </w:p>
    <w:p>
      <w:pPr>
        <w:pStyle w:val="Heading2"/>
        <w:rPr/>
      </w:pPr>
      <w:r>
        <w:rPr>
          <w:b/>
          <w:bCs/>
        </w:rPr>
        <w:t>Phase 1 — Activate (Wks 1-4 · May 11 – June 7)</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EVERYTHING ELSE: Mike → talk with Charles about Patton path</w:t>
            </w:r>
            <w:r>
              <w:rPr>
                <w:rFonts w:eastAsia="Cambria" w:cs=""/>
                <w:kern w:val="0"/>
                <w:sz w:val="24"/>
                <w:szCs w:val="24"/>
                <w:lang w:val="en-US" w:eastAsia="en-US" w:bidi="ar-SA"/>
              </w:rPr>
              <w:t xml:space="preserve"> — sanity-check the play before Charles sends anything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13-14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Highest priority · No downstream action proceeds until this conversation happens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Charles LinkedIn outreach to Jonathan Patton (MP Trivium Global) — peer-CEO framing, value-creation thesis, capital-raise context · </w:t>
            </w:r>
            <w:r>
              <w:rPr>
                <w:rFonts w:eastAsia="Cambria" w:cs=""/>
                <w:b/>
                <w:bCs/>
                <w:kern w:val="0"/>
                <w:sz w:val="24"/>
                <w:szCs w:val="24"/>
                <w:lang w:val="en-US" w:eastAsia="en-US" w:bidi="ar-SA"/>
              </w:rPr>
              <w:t>includes ask for Patton to hand-deliver Velocity GTM challenge coin to Steven Montgomery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15-18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Gated on Mike-Charles conversation green-light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asks Patton for UPS address inside response thread when Patton replies (so coin send-out is response-gated, not parallel cold drop)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 Patton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Conditional on Patton response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Coin ship-out — 4 coins</w:t>
            </w:r>
            <w:r>
              <w:rPr>
                <w:rFonts w:eastAsia="Cambria" w:cs=""/>
                <w:kern w:val="0"/>
                <w:sz w:val="24"/>
                <w:szCs w:val="24"/>
                <w:lang w:val="en-US" w:eastAsia="en-US" w:bidi="ar-SA"/>
              </w:rPr>
              <w:t xml:space="preserve"> to Jonathan Patton (Trivium), Steven Montgomery (ResiBrands CEO), Allan Alarcon (CGO), Codie Sanchez (co-owner). Standalone touch with brief handwritten notes — Patton hand-delivery to Steven if Patton agreed; remaining 3 shipped directly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 (post-Patton response)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Response-gated · Use current Velocity GTM coin (no America 250 reference required)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Trivium / ResiBrands ecosystem network discovery — GPSI sales team to validate any existing customer overlap at That 1 Painter, Garage Up, Pink’s operators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GPSI sales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Alumni Crossover v19 connection check for ResiBrands DMU</w:t>
            </w:r>
            <w:r>
              <w:rPr>
                <w:rFonts w:eastAsia="Cambria" w:cs=""/>
                <w:kern w:val="0"/>
                <w:sz w:val="24"/>
                <w:szCs w:val="24"/>
                <w:lang w:val="en-US" w:eastAsia="en-US" w:bidi="ar-SA"/>
              </w:rPr>
              <w:t xml:space="preserve"> — Garrett + Andrea review v19 doc for any 1st-degree, alma-mater, or company-history connections to Montgomery, Alarcon, Sanchez, Patton. Hits feed into contact intel table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Garrett + Andrea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12-14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ResiBrands intake form (Patton) refresh — when Patton responds, refresh intake form + start drafting 4-page prep doc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Intake v2 ready · prep doc to be built when needed</w:t>
            </w:r>
            <w:bookmarkStart w:id="12" w:name="phase-1-activate-wks-1-4-may-11-june-7"/>
            <w:bookmarkEnd w:id="12"/>
          </w:p>
        </w:tc>
      </w:tr>
    </w:tbl>
    <w:p>
      <w:pPr>
        <w:pStyle w:val="Heading2"/>
        <w:rPr/>
      </w:pPr>
      <w:r>
        <w:rPr>
          <w:b/>
          <w:bCs/>
        </w:rPr>
        <w:t>Phase 2 — Engage (Wks 5-8 · June 8 – July 12)</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America 250 letter to ResiBrands — DECISION DEFERRED per Phase 1 stage. Three options: (a) coin + letter as combined Phase 2 touch if Patton conversation surfaces interest, (b) coin standalone Phase 1 + letter standalone Phase 2 (sequenced double-touch), (c) skip letter, coin is enough · Mike decision required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Decision deferred · Re-evaluate post-Phase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Patton-introduced triangle meeting — Steven Montgomery + Allan Alarcon (+ Patton if he wants to attend) — first formal ResiBrands conversation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Conditional on Patton path success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Codie Sanchez Contrarian Thinking podcast ad sponsorship — explore as relationship-deepening conversation</w:t>
            </w:r>
            <w:r>
              <w:rPr>
                <w:rFonts w:eastAsia="Cambria" w:cs=""/>
                <w:kern w:val="0"/>
                <w:sz w:val="24"/>
                <w:szCs w:val="24"/>
                <w:lang w:val="en-US" w:eastAsia="en-US" w:bidi="ar-SA"/>
              </w:rPr>
              <w:t xml:space="preserve"> once initial Phase 1 ResiBrands engagement is established. Frame as agenda item in second or third meeting, NOT as cold outreach tactic. Audience-proximity to ResiBrands ecosystem + creates substantive future-meeting context with Codie via mutual-benefit conversation. Pricing, audience size, and creative-fit are open decisions to evaluate post-engagement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 — post-Phase 1 engagement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Conditional · NOT a cold outreach tactic</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Operator-level outreach to That 1 Painter multi-unit franchisees — if Mosquito Shield-style GPSI overlap exists at That 1 Painter (per Phase 1 network discovery), engage operators directly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GPSI sales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11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Conditional on overlap surfacing</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Founder-Direct Trident activation — IF Patton path stalls, pivot to direct Mike + Charles outreach to Montgomery via LinkedIn or coin-handwritten-note touch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 contingency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Backup path</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ResiBrands brand-page LinkedIn engagement — authentic engagement with Montgomery + Codie content on capital-raise and platform-economics themes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Ongoing June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bl>
    <w:p>
      <w:pPr>
        <w:pStyle w:val="Heading2"/>
        <w:rPr/>
      </w:pPr>
      <w:r>
        <w:rPr>
          <w:b/>
          <w:bCs/>
        </w:rPr>
        <w:t>Phase 3 — Close (Wks 9-13 · July 13 – August 9)</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ResiBrands Whale Script — Steven Montgomery + Allan Alarcon prep doc · founder-direct framing, capital-raise narrative as the strategic context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Claude + 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July 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for v4 build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ResiBrands formal triangle meeting — Montgomery + Alarcon · primary close attempt · capital-raise-context positioning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July 20-31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Target window</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Pilot proposal delivered — That 1 Painter pilot (~5-10 franchisees) as 90-day economics proof</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GPSI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August 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Conditional on Phase 2</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Whale Hunt close-out: pilot signed OR pivot decision logged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August 9</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Whale Hunt Wave 1 milestone</w:t>
            </w:r>
          </w:p>
        </w:tc>
      </w:tr>
    </w:tbl>
    <w:p>
      <w:pPr>
        <w:pStyle w:val="Heading2"/>
        <w:rPr/>
      </w:pPr>
      <w:r>
        <w:rPr>
          <w:b/>
          <w:bCs/>
        </w:rPr>
        <w:t>Meeting Prep Operating System — referenced tools</w:t>
      </w:r>
    </w:p>
    <w:p>
      <w:pPr>
        <w:pStyle w:val="FirstParagraph"/>
        <w:rPr/>
      </w:pPr>
      <w:r>
        <w:rPr/>
        <w:t>Every named ResiBrands meeting runs through the Meeting Prep system. Tools live in Outreach → Meeting Prep section of Control Book:</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Tool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it lives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Use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Meeting Prep Intake Form v2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docs/Meeting_Prep_Intake_Form_v2.docx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Blank template — copy + rename for every new ResiBrands meeting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Bridge Mapping v2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docs/Personal_Bridge_Mapping_v2.docx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Patton ⭐⭐ Citadel + military-family bridge captured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Quote Library — Whale Hunt Edition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docs/Quote_Library_Whale_Hunt.docx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sourced quotes · Blackstone $2.5B/18.5x EBITDA comp particularly relevant for capital-raise framing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Jonathan Patton filled intake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docs/Meeting_Prep_Intake_Form_Jonathan_Patton_v2.docx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prep · PE Intro Trident · ⭐⭐ Personal Bridge populated · Triangle ask: Montgomery + Alarcon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ResiBrands Whale Script (Montgomery + Alarcon)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TBD — Phase 3 build trigger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Founder-direct prep doc · queued for v4</w:t>
            </w:r>
          </w:p>
        </w:tc>
      </w:tr>
    </w:tbl>
    <w:p>
      <w:pPr>
        <w:pStyle w:val="Heading2"/>
        <w:rPr/>
      </w:pPr>
      <w:r>
        <w:rPr>
          <w:b/>
          <w:bCs/>
        </w:rPr>
        <w:t>Parallel Track A — Codie Sanchez engagement (carefully)</w:t>
      </w:r>
    </w:p>
    <w:p>
      <w:pPr>
        <w:pStyle w:val="FirstParagraph"/>
        <w:rPr/>
      </w:pPr>
      <w:r>
        <w:rPr/>
        <w:t>Codie Sanchez is co-owner but DELIBERATELY NOT the primary outreach path (cap-table dynamics — Patton has small minority stake; Codie is celebrity co-owner; going around Patton via Codie would undercut his role and lose the value-creation framing). However:</w:t>
      </w:r>
    </w:p>
    <w:p>
      <w:pPr>
        <w:pStyle w:val="Compact"/>
        <w:numPr>
          <w:ilvl w:val="0"/>
          <w:numId w:val="9"/>
        </w:numPr>
        <w:rPr/>
      </w:pPr>
      <w:r>
        <w:rPr>
          <w:b/>
          <w:bCs/>
        </w:rPr>
        <w:t>Coin send-out includes Codie</w:t>
      </w:r>
      <w:r>
        <w:rPr/>
        <w:t xml:space="preserve"> (4-coin shipment) — coordinated signal across all owners</w:t>
      </w:r>
    </w:p>
    <w:p>
      <w:pPr>
        <w:pStyle w:val="Compact"/>
        <w:numPr>
          <w:ilvl w:val="0"/>
          <w:numId w:val="10"/>
        </w:numPr>
        <w:rPr/>
      </w:pPr>
      <w:r>
        <w:rPr>
          <w:b/>
          <w:bCs/>
        </w:rPr>
        <w:t>LinkedIn content engagement</w:t>
      </w:r>
      <w:r>
        <w:rPr/>
        <w:t xml:space="preserve"> with Codie’s Contrarian Thinking posts is appropriate as background signal — authentic engagement on Main Street / trades / capital-raise themes</w:t>
      </w:r>
    </w:p>
    <w:p>
      <w:pPr>
        <w:pStyle w:val="Compact"/>
        <w:numPr>
          <w:ilvl w:val="0"/>
          <w:numId w:val="11"/>
        </w:numPr>
        <w:rPr/>
      </w:pPr>
      <w:r>
        <w:rPr>
          <w:b/>
          <w:bCs/>
        </w:rPr>
        <w:t>If Codie surfaces in conversation during Patton dialogue</w:t>
      </w:r>
      <w:r>
        <w:rPr/>
        <w:t xml:space="preserve"> — capture but don’t pursue; let Patton control the introduction architecture</w:t>
      </w:r>
    </w:p>
    <w:p>
      <w:pPr>
        <w:pStyle w:val="Compact"/>
        <w:numPr>
          <w:ilvl w:val="0"/>
          <w:numId w:val="12"/>
        </w:numPr>
        <w:rPr/>
      </w:pPr>
      <w:r>
        <w:rPr>
          <w:b/>
          <w:bCs/>
        </w:rPr>
        <w:t>Contrarian Thinking podcast ad sponsorship</w:t>
      </w:r>
      <w:r>
        <w:rPr/>
        <w:t xml:space="preserve"> is queued as a Phase 2 trigger-based action (see Phase 2 table) — explore as a relationship-deepening conversation once Phase 1 engagement is established, NOT as a cold outreach tactic. The pitch is mutual-benefit: ServiceBridge gets audience-proximity to ResiBrands ecosystem; Codie gets a sponsor in a category that complements her trades/Main Street thesis.</w:t>
      </w:r>
    </w:p>
    <w:p>
      <w:pPr>
        <w:pStyle w:val="Heading2"/>
        <w:rPr/>
      </w:pPr>
      <w:r>
        <w:rPr>
          <w:b/>
          <w:bCs/>
        </w:rPr>
        <w:t>Parallel Track B — Charles PE Outreach Tracker (this whale)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Path</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Plan date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(May 12)</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Next action</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Jonathan Patton (MP Trivium Global)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direct LinkedIn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15-18 (post-Mike conversation)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Recommended — not yet sent · Gated on Mike-Charles conversation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to discuss with Charles May 13-14</w:t>
            </w:r>
            <w:bookmarkStart w:id="13" w:name="Xe5242d3371b2df9aad58e81668a530b9a2237a7"/>
            <w:bookmarkEnd w:id="13"/>
          </w:p>
        </w:tc>
      </w:tr>
    </w:tbl>
    <w:p>
      <w:pPr>
        <w:pStyle w:val="Heading1"/>
        <w:rPr/>
      </w:pPr>
      <w:r>
        <w:rPr>
          <w:b/>
          <w:bCs/>
        </w:rPr>
        <w:t xml:space="preserve">⚔️ </w:t>
      </w:r>
      <w:r>
        <w:rPr>
          <w:b/>
          <w:bCs/>
        </w:rPr>
        <w:t>Competitive landscape — where the headwinds are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My read on ResiBrands’s FSM landscape</w:t>
            </w:r>
            <w:r>
              <w:rPr>
                <w:rFonts w:eastAsia="Cambria" w:cs=""/>
                <w:kern w:val="0"/>
                <w:sz w:val="24"/>
                <w:szCs w:val="24"/>
                <w:lang w:val="en-US" w:eastAsia="en-US" w:bidi="ar-SA"/>
              </w:rPr>
              <w:t xml:space="preserve"> ResiBrands runs ResiConnect — but this is front-end only (lead routing/customer intake), NOT FSM. The actual field service backend is franchisee-choice across all 3 brands. No displacement fight at the franchisor level. Steven Montgomery has single decision authority — fast yes/no. Tactical close, but capital-raise window adds strategic significance.</w:t>
            </w:r>
          </w:p>
        </w:tc>
      </w:tr>
    </w:tbl>
    <w:p>
      <w:pPr>
        <w:pStyle w:val="Heading2"/>
        <w:rPr/>
      </w:pPr>
      <w:r>
        <w:rPr>
          <w:b/>
          <w:bCs/>
        </w:rPr>
        <w:t>Brand-by-brand FSM map (corrected May 12)</w:t>
      </w:r>
    </w:p>
    <w:p>
      <w:pPr>
        <w:pStyle w:val="FirstParagraph"/>
        <w:rPr/>
      </w:pPr>
      <w:r>
        <w:rPr/>
        <w:t>Where each brand stands on FSM today, who pays for it, and how big the headwind is for displacement.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Brand</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FSM</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Mandate vs choice</w:t>
            </w:r>
          </w:p>
        </w:tc>
        <w:tc>
          <w:tcPr>
            <w:tcW w:w="15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Headwind</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GPO</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My read</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That 1 Painter</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Franchisee-choice backend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~380 units. Largest brand. Painting vertical. Best wedge brand — fleet-enabled, route-dense, GPSI bundle fit.</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Garage Up</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Franchisee-choice backend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Newer brand (launched 2021). Garage door + epoxy floor combo. Emerging unit count. Smaller wedge fit.</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Pink’s Window Services</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Franchisee-choice backend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Window cleaning. Acquired into ResiBrands portfolio. Smaller footprint. Trivium-led acquisition (Patton transaction origin).</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ResiConnect (front-end only)</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ResiBrands proprietary</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Franchisor product (front-end)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FSM</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Lead routing and customer intake. NOT FSM. ServiceBridge slots in cleanly behind ResiConnect — no displacement fight.</w:t>
            </w:r>
          </w:p>
        </w:tc>
      </w:tr>
    </w:tbl>
    <w:p>
      <w:pPr>
        <w:pStyle w:val="BodyText"/>
        <w:rPr/>
      </w:pPr>
      <w:r>
        <w:rPr>
          <w:i/>
          <w:iCs/>
        </w:rPr>
        <w:t>Headwind shorthand: LOW = open territory · MEDIUM = displacement effort · HIGH = entrenched specialty · LOCKED = mandated incumbent · HARD CONFLICT = competing against existing GPSI partnership · OPPORTUNITY = potential integration angle · NOT FSM = different category, no conflict · TBD = headwind level not yet determined.</w:t>
      </w:r>
    </w:p>
    <w:p>
      <w:pPr>
        <w:pStyle w:val="Heading1"/>
        <w:rPr/>
      </w:pPr>
      <w:r>
        <w:rPr>
          <w:b/>
          <w:bCs/>
        </w:rPr>
        <w:t xml:space="preserve">📣 </w:t>
      </w:r>
      <w:r>
        <w:rPr>
          <w:b/>
          <w:bCs/>
        </w:rPr>
        <w:t>Marketing touches &amp; warm-up tactics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section exists</w:t>
            </w:r>
            <w:r>
              <w:rPr>
                <w:rFonts w:eastAsia="Cambria" w:cs=""/>
                <w:kern w:val="0"/>
                <w:sz w:val="24"/>
                <w:szCs w:val="24"/>
                <w:lang w:val="en-US" w:eastAsia="en-US" w:bidi="ar-SA"/>
              </w:rPr>
              <w:t xml:space="preserve"> PE warm path is high-leverage but slow. We can’t depend on KKR or Apax or MidOcean to schedule the meeting that gets us in. We need GPS Insight and ServiceBridge to be names franchisor leadership has heard before — multiple times, through multiple channels — by the time the warm path activates. This section is the framework for that. Marketing ownership sits with Marketing teammates; my read is here to give us a starting point.</w:t>
            </w:r>
          </w:p>
        </w:tc>
      </w:tr>
    </w:tbl>
    <w:p>
      <w:pPr>
        <w:pStyle w:val="Heading2"/>
        <w:rPr/>
      </w:pPr>
      <w:r>
        <w:rPr>
          <w:b/>
          <w:bCs/>
        </w:rPr>
        <w:t>The framework — 7 channels we should be working in parallel</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does for us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presence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 up where they show up. IFA Annual, franchisor annual conventions, vertical-specific industry events. Booth, sponsorship, or attendee — physical proximity matters.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LinkedIn engagement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Authentic, sustained engagement with executive content. Not spammy comments — real engagement that demonstrates we understand their business. Build name recognition over months, not weeks.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Challenge coin / branded touch</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Tasteful, deliberate physical touches sent with personal notes. Not mass mailers — hand-delivered or hand-mailed to named executives. </w:t>
            </w:r>
            <w:r>
              <w:rPr>
                <w:rFonts w:eastAsia="Cambria" w:cs=""/>
                <w:b/>
                <w:bCs/>
                <w:kern w:val="0"/>
                <w:sz w:val="24"/>
                <w:szCs w:val="24"/>
                <w:lang w:val="en-US" w:eastAsia="en-US" w:bidi="ar-SA"/>
              </w:rPr>
              <w:t>For ResiBrands specifically: HIGHEST-FIT channel — see Whale Hunt action plan above for 4-coin send-out sequence.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Press / earned media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GPS Insight + ServiceBridge into franchise industry publications they read. Plus vertical-specific trade press for franchisee-level reach.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Mutual connections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 who in our combined networks already touches their network. Mutual LinkedIn connections, ex-colleagues, industry friends. Quietly identify warm second-degree paths to executives.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Inbound franchisee signal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a franchisee inquires about ServiceBridge, that signal travels back upstream. Franchisee-level adoption creates pull at the franchisor level. We track these and use them deliberately.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Sponsorships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Strategic sponsorship of franchisor events, IFA tracks, vertical conferences where target executives are speaking. Visibility plus credibility plus the chance to host a meeting on-site.</w:t>
            </w:r>
          </w:p>
        </w:tc>
      </w:tr>
    </w:tbl>
    <w:p>
      <w:pPr>
        <w:pStyle w:val="Heading2"/>
        <w:rPr/>
      </w:pPr>
      <w:r>
        <w:rPr>
          <w:b/>
          <w:bCs/>
        </w:rPr>
        <w:t>What I see for ResiBrands specifically</w:t>
      </w:r>
    </w:p>
    <w:p>
      <w:pPr>
        <w:pStyle w:val="FirstParagraph"/>
        <w:rPr/>
      </w:pPr>
      <w:r>
        <w:rPr>
          <w:b/>
          <w:bCs/>
        </w:rPr>
        <w:t>Past events — what we can learn</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Context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we should look for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Annual Convention 2026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22-25 2026, Las Vegas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Steven Montgomery growing IFA visibility. Codie Sanchez confirmed speaker.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whether Montgomery attended/spoke. ResiBrands at this size starts showing up in IFA emerging brand tracks.</w:t>
            </w:r>
          </w:p>
        </w:tc>
      </w:tr>
    </w:tbl>
    <w:p>
      <w:pPr>
        <w:pStyle w:val="BodyText"/>
        <w:rPr/>
      </w:pPr>
      <w:r>
        <w:rPr>
          <w:b/>
          <w:bCs/>
        </w:rPr>
        <w:t>Upcoming events — where to engage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it matters</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PCA EXPO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16-20, 2027 — New Orleans, LA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EVENT — That 1 Painter (~380 units) franchisees attend. Painting Contractors Association is the right vertical channel. Direct franchisee-level outreach + ServiceBridge booth.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Emerging Franchisor Conference 2026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November 16-18, 2026 — Nashville, TN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Steven Montgomery primary target. ResiBrands fits emerging franchisor profile perfectly. Sutton (Empower’s CDO) is IFA Foundation Trustee — possible overlap opportunity.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Annual Convention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22-24, 2027 — Mandalay Bay, Las Vegas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Montgomery growing IFA visibility as ResiBrands scales. Reach him directly.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Multi-Unit Franchising Conference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April 26-29, 2027 — Caesars Forum, Las Vegas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Multi-unit That 1 Painter operators attend.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2</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Emerging Franchisor Conference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November 15-17, 2027 — Nashville, TN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Locked-in engagement opportunity 18+ months out. Sutton likely attendee.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bl>
    <w:p>
      <w:pPr>
        <w:pStyle w:val="BodyText"/>
        <w:rPr/>
      </w:pPr>
      <w:r>
        <w:rPr>
          <w:b/>
          <w:bCs/>
        </w:rPr>
        <w:t>Executives to track</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Executive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we track them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Steven Montgomery (Founder/CEO)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decision authority. His content, his speaking calendar = the entire roadmap. Capital-raise mode = high receptivity to platform-economics conversations. LinkedIn engagement = highest leverage.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Codie Sanchez (Co-Owner)</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Public personality, IFA26 speaker, Contrarian Thinking platform. Watch her content for ResiBrands-related signal. NOT the outreach path — but engagement-relevant signal source.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Jonathan Patton (Trivium MP)</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PE-side warm path target. Quietly track Trivium activity, his LinkedIn posts on entrepreneurship/value creation, any portfolio company updates.</w:t>
            </w:r>
          </w:p>
        </w:tc>
      </w:tr>
    </w:tbl>
    <w:p>
      <w:pPr>
        <w:pStyle w:val="BodyText"/>
        <w:rPr/>
      </w:pPr>
      <w:r>
        <w:rPr>
          <w:b/>
          <w:bCs/>
        </w:rPr>
        <w:t>Specific tactics by channel</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My read for ResiBrands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LinkedIn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Montgomery is the entire decision tree. Direct, authentic LinkedIn engagement with his content. Comments that demonstrate understanding of franchise unit economics resonate. ServiceBridge content targeting founder-CEOs lands. Engagement with Codie’s Contrarian Thinking posts on Main Street / trades / capital is appropriate background.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Press / earned media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Painter-vertical trade press (PaintPRO, American Painting Contractor) for franchisee-level proof. Trivium-portfolio thought leadership for executive-level visibility.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Challenge coin / branded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HIGHEST-FIT channel for ResiBrands.</w:t>
            </w:r>
            <w:r>
              <w:rPr>
                <w:rFonts w:eastAsia="Cambria" w:cs=""/>
                <w:kern w:val="0"/>
                <w:sz w:val="24"/>
                <w:szCs w:val="24"/>
                <w:lang w:val="en-US" w:eastAsia="en-US" w:bidi="ar-SA"/>
              </w:rPr>
              <w:t xml:space="preserve"> Single-founder franchisor + Codie’s Main Street / Americana / trades-pride thesis + Texas family business culture = challenge coin is on-brand. 4-coin send-out sequence in Phase 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Inbound franchisee signal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That 1 Painter (~380 units) is the volume. Painter franchisees are price-sensitive but receptive to tools that drive route density. Inbound signal from That 1 Painter operators is high-leverage.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Mutual connection mapping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Trivium Global network, Codie’s Contrarian Thinking ecosystem, PCA painting industry, Texas franchise community (ResiBrands Austin-based). GPSI team likely has indirect paths.</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I’d land for marketing</w:t>
            </w:r>
            <w:r>
              <w:rPr>
                <w:rFonts w:eastAsia="Cambria" w:cs=""/>
                <w:kern w:val="0"/>
                <w:sz w:val="24"/>
                <w:szCs w:val="24"/>
                <w:lang w:val="en-US" w:eastAsia="en-US" w:bidi="ar-SA"/>
              </w:rPr>
              <w:t xml:space="preserve"> Marketing teammates owns marketing execution. My read is we should be running 3-4 of these channels at any given time across each P1 — not all 7 channels for every target. The framework helps us pick the right combination given the warm path status, the engagement window, and what we already know about each franchisor’s culture.</w:t>
            </w:r>
            <w:bookmarkStart w:id="14" w:name="marketing-touches-warm-up-tactics"/>
            <w:bookmarkEnd w:id="14"/>
          </w:p>
        </w:tc>
      </w:tr>
    </w:tbl>
    <w:p>
      <w:pPr>
        <w:pStyle w:val="Heading1"/>
        <w:rPr/>
      </w:pPr>
      <w:r>
        <w:rPr>
          <w:b/>
          <w:bCs/>
        </w:rPr>
        <w:t xml:space="preserve">📊 </w:t>
      </w:r>
      <w:r>
        <w:rPr>
          <w:b/>
          <w:bCs/>
        </w:rPr>
        <w:t>Engagement scorecard — what we’re learning</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section exists</w:t>
            </w:r>
            <w:r>
              <w:rPr>
                <w:rFonts w:eastAsia="Cambria" w:cs=""/>
                <w:kern w:val="0"/>
                <w:sz w:val="24"/>
                <w:szCs w:val="24"/>
                <w:lang w:val="en-US" w:eastAsia="en-US" w:bidi="ar-SA"/>
              </w:rPr>
              <w:t xml:space="preserve"> This is where we capture what actually happens when we engage ResiBrands. Every call, every LinkedIn touch, every signal — short note, what landed, what didn’t, and what we change as a result. We test our assumptions on the live target, then update the rest of this package based on what we find. The package gets smarter as we go. </w:t>
            </w:r>
            <w:r>
              <w:rPr>
                <w:rFonts w:eastAsia="Cambria" w:cs=""/>
                <w:b/>
                <w:bCs/>
                <w:kern w:val="0"/>
                <w:sz w:val="24"/>
                <w:szCs w:val="24"/>
                <w:lang w:val="en-US" w:eastAsia="en-US" w:bidi="ar-SA"/>
              </w:rPr>
              <w:t>As of May 12: no engagement actions delivered yet — scorecard begins populating once Phase 1 actions execute.</w:t>
            </w:r>
          </w:p>
        </w:tc>
      </w:tr>
    </w:tbl>
    <w:p>
      <w:pPr>
        <w:pStyle w:val="Heading2"/>
        <w:rPr/>
      </w:pPr>
      <w:r>
        <w:rPr>
          <w:b/>
          <w:bCs/>
        </w:rPr>
        <w:t>Package updates triggered by learnings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Section updated</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changed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May 12, 2026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 table · Brand list · Whale Hunt activation · Outreach plan · Coin sequencing · Alumni Crossover · PitchBook framing · Codie podcast · Network Partner Program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v3.1 consolidation. Cap-table corrected: Trivium Global (Patton) + Contrarian Thinking (Codie), NOT Trivest. Brand list corrected: That 1 Painter + Garage Up + Pink’s only (removed BoxDrop/Sploosh/Patch Boys which are not ResiBrands brands). Tech count recalibrated to 2,400. Whale Hunt Wave 1 activation. 3-phase action plan replaces “IN DEVELOPMENT” status. Jonathan Patton named as PE-side warm-path target. 4-coin send-out sequence with Patton-hand-delivery-ask play. America 250 letter decision deferred per stage. </w:t>
            </w:r>
            <w:r>
              <w:rPr>
                <w:rFonts w:eastAsia="Cambria" w:cs=""/>
                <w:b/>
                <w:bCs/>
                <w:kern w:val="0"/>
                <w:sz w:val="24"/>
                <w:szCs w:val="24"/>
                <w:lang w:val="en-US" w:eastAsia="en-US" w:bidi="ar-SA"/>
              </w:rPr>
              <w:t>Added Alumni Crossover v19 check as named Phase 1 action (owner: Garrett + Andrea, May 12-14). Added PitchBook credibility-not-required framing — institutional data is upgrade, not gating dependency. Added Codie Sanchez Contrarian Thinking podcast ad sponsorship as Phase 2 trigger-based action — explore as relationship-deepening conversation once initial engagement is established, NOT a cold outreach tactic. NETWORK PARTNER PROGRAM (5 tiers) added as the franchisor-level value-creation offer: Preferred Pricing + Implementation Support + Data &amp; Analytics + Co-Marketing + Volume Rebate Structure. Pricing is the ticket of entry; value creation is the differentiator. Zero franchisor cash outlay.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How I plan to use this</w:t>
            </w:r>
            <w:r>
              <w:rPr>
                <w:rFonts w:eastAsia="Cambria" w:cs=""/>
                <w:kern w:val="0"/>
                <w:sz w:val="24"/>
                <w:szCs w:val="24"/>
                <w:lang w:val="en-US" w:eastAsia="en-US" w:bidi="ar-SA"/>
              </w:rPr>
              <w:t xml:space="preserve"> My read is the readiness package isn’t finished when we send it — it’s a starting point. After every meaningful interaction with ResiBrands, I’ll capture what we learned here. Before we move to the next P1, we’ll review what worked and what didn’t, and bring those lessons forward. The team’s tribal knowledge fills in the gaps that research couldn’t.</w:t>
            </w:r>
          </w:p>
        </w:tc>
      </w:tr>
    </w:tbl>
    <w:p>
      <w:pPr>
        <w:pStyle w:val="BodyText"/>
        <w:rPr/>
      </w:pPr>
      <w:r>
        <w:rPr>
          <w:i/>
          <w:iCs/>
        </w:rPr>
        <w:t xml:space="preserve">— </w:t>
      </w:r>
      <w:r>
        <w:rPr>
          <w:i/>
          <w:iCs/>
        </w:rPr>
        <w:t>End of document —</w:t>
      </w:r>
    </w:p>
    <w:p>
      <w:pPr>
        <w:pStyle w:val="BodyText"/>
        <w:spacing w:before="180" w:after="180"/>
        <w:rPr/>
      </w:pPr>
      <w:r>
        <w:rPr>
          <w:i/>
          <w:iCs/>
        </w:rPr>
        <w:t>Velocity GTM Co LLC · ResiBrands GTM Engagement Readiness · v3.1 Whale Hunt Wave 1 · May 12, 2026</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2026-05-12T17:27:04Z</dcterms:created>
  <dc:creator/>
  <dc:description/>
  <dc:language>en-US</dc:language>
  <cp:lastModifiedBy/>
  <dcterms:modified xsi:type="dcterms:W3CDTF">2026-05-12T17:27:04Z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