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Arial" w:cs="Arial" w:eastAsia="Arial" w:hAnsi="Arial"/>
          <w:b/>
          <w:bCs/>
          <w:color w:val="1A2B3C"/>
          <w:sz w:val="44"/>
          <w:szCs w:val="44"/>
        </w:rPr>
        <w:t xml:space="preserve">FIVE STAR FRANCHISING</w:t>
      </w:r>
    </w:p>
    <w:p>
      <w:pPr>
        <w:spacing w:after="60" w:before="0"/>
        <w:jc w:val="center"/>
      </w:pPr>
      <w:r>
        <w:rPr>
          <w:rFonts w:ascii="Arial" w:cs="Arial" w:eastAsia="Arial" w:hAnsi="Arial"/>
          <w:b/>
          <w:bCs/>
          <w:color w:val="185FA5"/>
          <w:sz w:val="28"/>
          <w:szCs w:val="28"/>
        </w:rPr>
        <w:t xml:space="preserve">GTM Engagement Readiness</w:t>
      </w:r>
    </w:p>
    <w:p>
      <w:pPr>
        <w:spacing w:after="60" w:before="0"/>
        <w:jc w:val="center"/>
      </w:pPr>
      <w:r>
        <w:rPr>
          <w:rFonts w:ascii="Arial" w:cs="Arial" w:eastAsia="Arial" w:hAnsi="Arial"/>
          <w:b/>
          <w:bCs/>
          <w:color w:val="A32D2D"/>
          <w:sz w:val="22"/>
          <w:szCs w:val="22"/>
        </w:rPr>
        <w:t xml:space="preserve">Rank #5 · WEDGE-BRAND · Score 59.2</w:t>
      </w:r>
    </w:p>
    <w:p>
      <w:pPr>
        <w:spacing w:after="240" w:before="0"/>
        <w:jc w:val="center"/>
      </w:pPr>
      <w:r>
        <w:rPr>
          <w:rFonts w:ascii="Arial" w:cs="Arial" w:eastAsia="Arial" w:hAnsi="Arial"/>
          <w:i/>
          <w:iCs/>
          <w:color w:val="888780"/>
          <w:sz w:val="20"/>
          <w:szCs w:val="20"/>
        </w:rPr>
        <w:t xml:space="preserve">Mosquito Shield wedge · ProNexis = call center only · tactical pipeline</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My read on this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5F5F5"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Five Star Franchising sits at rank #5</w:t>
            </w:r>
          </w:p>
          <w:p>
            <w:r>
              <w:rPr>
                <w:rFonts w:ascii="Arial" w:cs="Arial" w:eastAsia="Arial" w:hAnsi="Arial"/>
                <w:sz w:val="22"/>
                <w:szCs w:val="22"/>
              </w:rPr>
              <w:t xml:space="preserve">Five Star Franchising came in at #6, similar tactical profile to ResiBrands but with a smaller tech base at ~2,350. ProNexis is Five Star's branded service, but it's a call center/lead intake layer, not FSM — so the actual field service tech decision sits at the franchisee level. Mosquito Shield at 400+ territories is the natural wedge brand. Princeton Equity-backed. My read is we pair this with ResiBrands as parallel tactical pipeline.</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Where I'd land it</w:t>
      </w:r>
    </w:p>
    <w:p>
      <w:pPr>
        <w:pStyle w:val="ListParagraph"/>
        <w:numPr>
          <w:ilvl w:val="0"/>
          <w:numId w:val="2"/>
        </w:numPr>
        <w:spacing w:after="40" w:before="40"/>
      </w:pPr>
      <w:r>
        <w:rPr>
          <w:rFonts w:ascii="Arial" w:cs="Arial" w:eastAsia="Arial" w:hAnsi="Arial"/>
          <w:sz w:val="22"/>
          <w:szCs w:val="22"/>
        </w:rPr>
        <w:t xml:space="preserve">ProNexis is call center only. Not FSM. Franchisee-choice backend means no displacement fight.</w:t>
      </w:r>
    </w:p>
    <w:p>
      <w:pPr>
        <w:pStyle w:val="ListParagraph"/>
        <w:numPr>
          <w:ilvl w:val="0"/>
          <w:numId w:val="2"/>
        </w:numPr>
        <w:spacing w:after="40" w:before="40"/>
      </w:pPr>
      <w:r>
        <w:rPr>
          <w:rFonts w:ascii="Arial" w:cs="Arial" w:eastAsia="Arial" w:hAnsi="Arial"/>
          <w:sz w:val="22"/>
          <w:szCs w:val="22"/>
        </w:rPr>
        <w:t xml:space="preserve">Mosquito Shield at 400+ territories is fleet-heavy and a natural GPSI bundle fit.</w:t>
      </w:r>
    </w:p>
    <w:p>
      <w:pPr>
        <w:pStyle w:val="ListParagraph"/>
        <w:numPr>
          <w:ilvl w:val="0"/>
          <w:numId w:val="2"/>
        </w:numPr>
        <w:spacing w:after="40" w:before="40"/>
      </w:pPr>
      <w:r>
        <w:rPr>
          <w:rFonts w:ascii="Arial" w:cs="Arial" w:eastAsia="Arial" w:hAnsi="Arial"/>
          <w:sz w:val="22"/>
          <w:szCs w:val="22"/>
        </w:rPr>
        <w:t xml:space="preserve">Scott Abbott is the single decision anchor.</w:t>
      </w:r>
    </w:p>
    <w:p>
      <w:pPr>
        <w:pStyle w:val="ListParagraph"/>
        <w:numPr>
          <w:ilvl w:val="0"/>
          <w:numId w:val="2"/>
        </w:numPr>
        <w:spacing w:after="40" w:before="40"/>
      </w:pPr>
      <w:r>
        <w:rPr>
          <w:rFonts w:ascii="Arial" w:cs="Arial" w:eastAsia="Arial" w:hAnsi="Arial"/>
          <w:sz w:val="22"/>
          <w:szCs w:val="22"/>
        </w:rPr>
        <w:t xml:space="preserve">Princeton Equity-backed, standard PE dynamics, likely 4-5 years in.</w:t>
      </w:r>
    </w:p>
    <w:p>
      <w:pPr>
        <w:pStyle w:val="ListParagraph"/>
        <w:numPr>
          <w:ilvl w:val="0"/>
          <w:numId w:val="2"/>
        </w:numPr>
        <w:spacing w:after="40" w:before="40"/>
      </w:pPr>
      <w:r>
        <w:rPr>
          <w:rFonts w:ascii="Arial" w:cs="Arial" w:eastAsia="Arial" w:hAnsi="Arial"/>
          <w:sz w:val="22"/>
          <w:szCs w:val="22"/>
        </w:rPr>
        <w:t xml:space="preserve">My read: pair this with ResiBrands as tactical pipeline. Not a strategic platform anchor.</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What we know — with sources</w:t>
      </w:r>
    </w:p>
    <w:p>
      <w:pPr>
        <w:spacing w:after="80" w:before="80"/>
      </w:pPr>
      <w:r>
        <w:rPr>
          <w:rFonts w:ascii="Arial" w:cs="Arial" w:eastAsia="Arial" w:hAnsi="Arial"/>
          <w:sz w:val="22"/>
          <w:szCs w:val="22"/>
        </w:rPr>
        <w:t xml:space="preserve">Core data points with confidence level, source, and verification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1400"/>
        <w:gridCol w:w="2000"/>
        <w:gridCol w:w="960"/>
      </w:tblGrid>
      <w:tr>
        <w:trPr>
          <w:tblHeader/>
        </w:trPr>
        <w:tc>
          <w:tcPr>
            <w:tcW w:type="dxa" w:w="2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Data Point</w:t>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Value</w:t>
            </w:r>
          </w:p>
        </w:tc>
        <w:tc>
          <w:tcPr>
            <w:tcW w:type="dxa" w:w="1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Confidence</w:t>
            </w:r>
          </w:p>
        </w:tc>
        <w:tc>
          <w:tcPr>
            <w:tcW w:type="dxa" w:w="2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Source</w:t>
            </w:r>
          </w:p>
        </w:tc>
        <w:tc>
          <w:tcPr>
            <w:tcW w:type="dxa" w:w="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Verified</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Total brands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7</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Five Star website</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Mosquito Shield locations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400+ territories</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FDD aggregators</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Tech count</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~2,350 mid-point (range 1,750-3,000)</w:t>
            </w:r>
          </w:p>
        </w:tc>
        <w:tc>
          <w:tcPr>
            <w:tcW w:type="dxa" w:w="1400"/>
            <w:tcBorders>
              <w:top w:val="single" w:color="CCCCCC" w:sz="4"/>
              <w:left w:val="single" w:color="CCCCCC" w:sz="4"/>
              <w:bottom w:val="single" w:color="CCCCCC" w:sz="4"/>
              <w:right w:val="single" w:color="CCCCCC" w:sz="4"/>
            </w:tcBorders>
            <w:shd w:fill="E8F4F4" w:val="clear"/>
            <w:tcMar>
              <w:top w:type="dxa" w:w="80"/>
              <w:left w:type="dxa" w:w="120"/>
              <w:bottom w:type="dxa" w:w="80"/>
              <w:right w:type="dxa" w:w="120"/>
            </w:tcMar>
          </w:tcPr>
          <w:p>
            <w:pPr>
              <w:jc w:val="center"/>
            </w:pPr>
            <w:r>
              <w:rPr>
                <w:rFonts w:ascii="Arial" w:cs="Arial" w:eastAsia="Arial" w:hAnsi="Arial"/>
                <w:b/>
                <w:bCs/>
                <w:i w:val="false"/>
                <w:iCs w:val="false"/>
                <w:color w:val="0F4C5C"/>
                <w:sz w:val="18"/>
                <w:szCs w:val="18"/>
              </w:rPr>
              <w:t xml:space="preserve">🟡 INDUSTRY_VERIFIED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Vertical-calibrated from verified location counts × industry-typical techs/location</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25</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Portfolio FSM (call center)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ProNexis</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Five Star materials + ServiceMinder integration docs</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FSM backend</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Franchisee-choice est.</w:t>
            </w:r>
          </w:p>
        </w:tc>
        <w:tc>
          <w:tcPr>
            <w:tcW w:type="dxa" w:w="14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8"/>
                <w:szCs w:val="18"/>
              </w:rPr>
              <w:t xml:space="preserve">⚪ ESTIMATED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ProNexis is call-center</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CEO</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Scott Abbott</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Five Star corporate</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PE owner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Princeton Equity</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Five Star investor</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GPO Status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Yes — Five Star Buying Group</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Five Star Franchising website, Buying Group program</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Consumer/Commercial mix</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Consumer 85%</w:t>
            </w:r>
          </w:p>
        </w:tc>
        <w:tc>
          <w:tcPr>
            <w:tcW w:type="dxa" w:w="1400"/>
            <w:tcBorders>
              <w:top w:val="single" w:color="CCCCCC" w:sz="4"/>
              <w:left w:val="single" w:color="CCCCCC" w:sz="4"/>
              <w:bottom w:val="single" w:color="CCCCCC" w:sz="4"/>
              <w:right w:val="single" w:color="CCCCCC" w:sz="4"/>
            </w:tcBorders>
            <w:shd w:fill="E8F4F4" w:val="clear"/>
            <w:tcMar>
              <w:top w:type="dxa" w:w="80"/>
              <w:left w:type="dxa" w:w="120"/>
              <w:bottom w:type="dxa" w:w="80"/>
              <w:right w:type="dxa" w:w="120"/>
            </w:tcMar>
          </w:tcPr>
          <w:p>
            <w:pPr>
              <w:jc w:val="center"/>
            </w:pPr>
            <w:r>
              <w:rPr>
                <w:rFonts w:ascii="Arial" w:cs="Arial" w:eastAsia="Arial" w:hAnsi="Arial"/>
                <w:b/>
                <w:bCs/>
                <w:i w:val="false"/>
                <w:iCs w:val="false"/>
                <w:color w:val="0F4C5C"/>
                <w:sz w:val="18"/>
                <w:szCs w:val="18"/>
              </w:rPr>
              <w:t xml:space="preserve">🟡 INDUSTRY_VERIFIED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Brand portfolio analysis — Mosquito Shield + bath/painting consumer-led</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Existing Telematics Solution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TBD — GPSI sales team to validate</w:t>
            </w:r>
          </w:p>
        </w:tc>
        <w:tc>
          <w:tcPr>
            <w:tcW w:type="dxa" w:w="1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55555"/>
                <w:sz w:val="18"/>
                <w:szCs w:val="18"/>
              </w:rPr>
              <w:t xml:space="preserve">⚪ ESTIMATED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GPS Insight customer database — pending sales team review</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bl>
    <w:p>
      <w:pPr>
        <w:pBdr>
          <w:bottom w:val="single" w:color="185FA5" w:sz="6" w:space="1"/>
        </w:pBdr>
        <w:spacing w:after="120" w:before="120"/>
      </w:pPr>
    </w:p>
    <w:p>
      <w:pPr>
        <w:pStyle w:val="Heading2"/>
        <w:spacing w:after="140" w:before="280"/>
      </w:pPr>
      <w:r>
        <w:rPr>
          <w:rFonts w:ascii="Arial" w:cs="Arial" w:eastAsia="Arial" w:hAnsi="Arial"/>
          <w:b/>
          <w:bCs/>
          <w:color w:val="185FA5"/>
          <w:sz w:val="26"/>
          <w:szCs w:val="26"/>
        </w:rPr>
        <w:t xml:space="preserve">How we got to this tech 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Honest framing: this is a vertical-calibrated mid-point estimate, not verified headcount</w:t>
            </w:r>
          </w:p>
          <w:p>
            <w:r>
              <w:rPr>
                <w:rFonts w:ascii="Arial" w:cs="Arial" w:eastAsia="Arial" w:hAnsi="Arial"/>
                <w:sz w:val="22"/>
                <w:szCs w:val="22"/>
              </w:rPr>
              <w:t xml:space="preserve">Five Star's portfolio is led by Mosquito Shield (400+ territories), Five Star Painting, S.W.A.T. Pest Control, plus smaller brands. Pest control is moderately fleet-heavy (3-5 techs/territory), painting lighter. FDDs do not typically disclose techs-per-franchisee — Item 20 lists locations, Item 19 lists financials, but average headcount is not a standard disclosure. So our 2,350 mid-point for Five Star Franchising is anchored on what's reasonable given the brand mix, but the actual number could land anywhere in the range below. Marketing teammates likely have direct headcount data through operator surveys, regional meeting reports, or franchisee scorecards that would tighten this from ESTIMATED to VERIFIED.</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Range and corresponding Year 1 ARR @ 10%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380"/>
        <w:gridCol w:w="2380"/>
      </w:tblGrid>
      <w:tr>
        <w:trPr>
          <w:tblHeader/>
        </w:trPr>
        <w:tc>
          <w:tcPr>
            <w:tcW w:type="dxa" w:w="23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Scenario</w:t>
            </w:r>
          </w:p>
        </w:tc>
        <w:tc>
          <w:tcPr>
            <w:tcW w:type="dxa" w:w="23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Tech count</w:t>
            </w:r>
          </w:p>
        </w:tc>
        <w:tc>
          <w:tcPr>
            <w:tcW w:type="dxa" w:w="23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Y1 ARR @ 10%</w:t>
            </w:r>
          </w:p>
        </w:tc>
        <w:tc>
          <w:tcPr>
            <w:tcW w:type="dxa" w:w="23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Y1 ARR @ 25%</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7"/>
                <w:szCs w:val="17"/>
              </w:rPr>
              <w:t xml:space="preserve">Low (conservative)</w:t>
            </w:r>
          </w:p>
        </w:tc>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8"/>
                <w:szCs w:val="18"/>
              </w:rPr>
              <w:t xml:space="preserve">1,750</w:t>
            </w:r>
          </w:p>
        </w:tc>
        <w:tc>
          <w:tcPr>
            <w:tcW w:type="dxa" w:w="23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8"/>
                <w:szCs w:val="18"/>
              </w:rPr>
              <w:t xml:space="preserve">$52,395</w:t>
            </w:r>
          </w:p>
        </w:tc>
        <w:tc>
          <w:tcPr>
            <w:tcW w:type="dxa" w:w="23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8"/>
                <w:szCs w:val="18"/>
              </w:rPr>
              <w:t xml:space="preserve">$130,987</w:t>
            </w:r>
          </w:p>
        </w:tc>
      </w:tr>
      <w:tr>
        <w:tc>
          <w:tcPr>
            <w:tcW w:type="dxa" w:w="23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color w:val="27500A"/>
                <w:sz w:val="18"/>
                <w:szCs w:val="18"/>
              </w:rPr>
              <w:t xml:space="preserve">Mid (our headline)</w:t>
            </w:r>
          </w:p>
        </w:tc>
        <w:tc>
          <w:tcPr>
            <w:tcW w:type="dxa" w:w="23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2,350</w:t>
            </w:r>
          </w:p>
        </w:tc>
        <w:tc>
          <w:tcPr>
            <w:tcW w:type="dxa" w:w="23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$70,359</w:t>
            </w:r>
          </w:p>
        </w:tc>
        <w:tc>
          <w:tcPr>
            <w:tcW w:type="dxa" w:w="23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$175,898</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7"/>
                <w:szCs w:val="17"/>
              </w:rPr>
              <w:t xml:space="preserve">High (stretch)</w:t>
            </w:r>
          </w:p>
        </w:tc>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8"/>
                <w:szCs w:val="18"/>
              </w:rPr>
              <w:t xml:space="preserve">3,000</w:t>
            </w:r>
          </w:p>
        </w:tc>
        <w:tc>
          <w:tcPr>
            <w:tcW w:type="dxa" w:w="23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8"/>
                <w:szCs w:val="18"/>
              </w:rPr>
              <w:t xml:space="preserve">$89,820</w:t>
            </w:r>
          </w:p>
        </w:tc>
        <w:tc>
          <w:tcPr>
            <w:tcW w:type="dxa" w:w="23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8"/>
                <w:szCs w:val="18"/>
              </w:rPr>
              <w:t xml:space="preserve">$224,550</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Headline numbers throughout this package run off the mid-point. The low/high band is the honest defensive context — if a CFO asks how confident we are in 2,350 techs, the answer is "vertical-calibrated mid-point; range is 1,750-3,000 depending on actual tech-per-location at the brand mix; Marketing teammates have the real headcount data to tighten this." Reads honest, not defensive.</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PE exit math &amp; ROI — what we bring to the franchisor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AF3DE"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matters to PE in one sentence</w:t>
            </w:r>
          </w:p>
          <w:p>
            <w:r>
              <w:rPr>
                <w:rFonts w:ascii="Arial" w:cs="Arial" w:eastAsia="Arial" w:hAnsi="Arial"/>
                <w:sz w:val="22"/>
                <w:szCs w:val="22"/>
              </w:rPr>
              <w:t xml:space="preserve">Every $1 of franchisee-level EBITDA improvement converts to $10–14 of enterprise value at PE exit. A franchisor-funded FSM platform that costs $0.25 per $1 of EBITDA added delivers 40–50x ROI on invested capital over a typical hold period.</w:t>
            </w:r>
          </w:p>
        </w:tc>
      </w:tr>
    </w:tbl>
    <w:p>
      <w:pPr>
        <w:pStyle w:val="Heading2"/>
        <w:spacing w:after="140" w:before="280"/>
      </w:pPr>
      <w:r>
        <w:rPr>
          <w:rFonts w:ascii="Arial" w:cs="Arial" w:eastAsia="Arial" w:hAnsi="Arial"/>
          <w:b/>
          <w:bCs/>
          <w:color w:val="185FA5"/>
          <w:sz w:val="26"/>
          <w:szCs w:val="26"/>
        </w:rPr>
        <w:t xml:space="preserve">The exit multiple math</w:t>
      </w:r>
    </w:p>
    <w:p>
      <w:pPr>
        <w:spacing w:after="80" w:before="80"/>
      </w:pPr>
      <w:r>
        <w:rPr>
          <w:rFonts w:ascii="Arial" w:cs="Arial" w:eastAsia="Arial" w:hAnsi="Arial"/>
          <w:sz w:val="22"/>
          <w:szCs w:val="22"/>
        </w:rPr>
        <w:t xml:space="preserve">Home services franchisor exits consistently price at tech-enabled multiples: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Exit Category</w:t>
            </w:r>
          </w:p>
        </w:tc>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EBITDA Multiple Range</w:t>
            </w:r>
          </w:p>
        </w:tc>
        <w:tc>
          <w:tcPr>
            <w:tcW w:type="dxa" w:w="28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Source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Established home services</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2"/>
                <w:szCs w:val="22"/>
              </w:rPr>
              <w:t xml:space="preserve">8–12x EBITDA</w:t>
            </w:r>
          </w:p>
        </w:tc>
        <w:tc>
          <w:tcPr>
            <w:tcW w:type="dxa" w:w="2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GF Data · PitchBook · industry benchmarks</w:t>
            </w:r>
          </w:p>
        </w:tc>
      </w:tr>
      <w:tr>
        <w:tc>
          <w:tcPr>
            <w:tcW w:type="dxa" w:w="35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Tech-enabled home services</w:t>
            </w:r>
          </w:p>
        </w:tc>
        <w:tc>
          <w:tcPr>
            <w:tcW w:type="dxa" w:w="30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10–14x EBITDA</w:t>
            </w:r>
          </w:p>
        </w:tc>
        <w:tc>
          <w:tcPr>
            <w:tcW w:type="dxa" w:w="286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val="false"/>
                <w:bCs w:val="false"/>
                <w:i/>
                <w:iCs/>
                <w:color w:val="27500A"/>
                <w:sz w:val="16"/>
                <w:szCs w:val="16"/>
              </w:rPr>
              <w:t xml:space="preserve">Higher for proven tech-enabled platforms</w:t>
            </w:r>
          </w:p>
        </w:tc>
      </w:tr>
      <w:tr>
        <w:tc>
          <w:tcPr>
            <w:tcW w:type="dxa" w:w="3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Value creation breakdown (PE-era)</w:t>
            </w:r>
          </w:p>
        </w:tc>
        <w:tc>
          <w:tcPr>
            <w:tcW w:type="dxa" w:w="30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val="false"/>
                <w:bCs w:val="false"/>
                <w:i w:val="false"/>
                <w:iCs w:val="false"/>
                <w:sz w:val="16"/>
                <w:szCs w:val="16"/>
              </w:rPr>
              <w:t xml:space="preserve">32% multiple expansion · 54% VCI</w:t>
            </w:r>
          </w:p>
        </w:tc>
        <w:tc>
          <w:tcPr>
            <w:tcW w:type="dxa" w:w="28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McKinsey / Bain PE value-creation studies</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595959"/>
          <w:sz w:val="22"/>
          <w:szCs w:val="22"/>
        </w:rPr>
        <w:t xml:space="preserve">VCI = Value Creation Initiatives. FSM platform consolidation is a textbook VCI — directly improves franchisee unit economics, which flows through to franchisor royalty economics, which is what the PE buyer is paying for.</w:t>
      </w:r>
    </w:p>
    <w:p>
      <w:pPr>
        <w:pStyle w:val="Heading2"/>
        <w:spacing w:after="140" w:before="280"/>
      </w:pPr>
      <w:r>
        <w:rPr>
          <w:rFonts w:ascii="Arial" w:cs="Arial" w:eastAsia="Arial" w:hAnsi="Arial"/>
          <w:b/>
          <w:bCs/>
          <w:color w:val="185FA5"/>
          <w:sz w:val="26"/>
          <w:szCs w:val="26"/>
        </w:rPr>
        <w:t xml:space="preserve">Five Star Franchising — franchisor-level ROI model</w:t>
      </w:r>
    </w:p>
    <w:p>
      <w:pPr>
        <w:spacing w:after="80" w:before="80"/>
      </w:pPr>
      <w:r>
        <w:rPr>
          <w:rFonts w:ascii="Arial" w:cs="Arial" w:eastAsia="Arial" w:hAnsi="Arial"/>
          <w:sz w:val="22"/>
          <w:szCs w:val="22"/>
        </w:rPr>
        <w:t xml:space="preserve">The model is straightforward — if ServiceBridge is adopted across Five Star Franchising's network, what does that do to Five Star Franchising's exit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Variable</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Assumption</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Math</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Franchisee EBITDA improvement from FSM</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$8K/tech/year</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Route efficiency · job density · billing capture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Network tech base</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2,350 techs</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Vertical-calibrated from FDDs</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Buy-in rate assumed</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10% (working baseline)</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Conservative Phase 1-2 starting assumption</w:t>
            </w:r>
          </w:p>
        </w:tc>
      </w:tr>
      <w:tr>
        <w:tc>
          <w:tcPr>
            <w:tcW w:type="dxa" w:w="3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Network EBITDA improvement</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$1.88M/yr</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iCs/>
                <w:color w:val="27500A"/>
                <w:sz w:val="16"/>
                <w:szCs w:val="16"/>
              </w:rPr>
              <w:t xml:space="preserve">2,350 × 10% × $8K</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Royalty pass-through (~6%)</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$0.11M/yr</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Typical franchisor royalty rate</w:t>
            </w:r>
          </w:p>
        </w:tc>
      </w:tr>
      <w:tr>
        <w:tc>
          <w:tcPr>
            <w:tcW w:type="dxa" w:w="320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Exit multiple applied (12x)</w:t>
            </w:r>
          </w:p>
        </w:tc>
        <w:tc>
          <w:tcPr>
            <w:tcW w:type="dxa" w:w="308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center"/>
            </w:pPr>
            <w:r>
              <w:rPr>
                <w:rFonts w:ascii="Arial" w:cs="Arial" w:eastAsia="Arial" w:hAnsi="Arial"/>
                <w:b/>
                <w:bCs/>
                <w:i w:val="false"/>
                <w:iCs w:val="false"/>
                <w:color w:val="633806"/>
                <w:sz w:val="22"/>
                <w:szCs w:val="22"/>
              </w:rPr>
              <w:t xml:space="preserve">$1.35M</w:t>
            </w:r>
          </w:p>
        </w:tc>
        <w:tc>
          <w:tcPr>
            <w:tcW w:type="dxa" w:w="308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center"/>
            </w:pPr>
            <w:r>
              <w:rPr>
                <w:rFonts w:ascii="Arial" w:cs="Arial" w:eastAsia="Arial" w:hAnsi="Arial"/>
                <w:b w:val="false"/>
                <w:bCs w:val="false"/>
                <w:i/>
                <w:iCs/>
                <w:color w:val="633806"/>
                <w:sz w:val="16"/>
                <w:szCs w:val="16"/>
              </w:rPr>
              <w:t xml:space="preserve">Franchisor-level exit value add</w:t>
            </w:r>
          </w:p>
        </w:tc>
      </w:tr>
      <w:tr>
        <w:tc>
          <w:tcPr>
            <w:tcW w:type="dxa" w:w="320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left"/>
            </w:pPr>
            <w:r>
              <w:rPr>
                <w:rFonts w:ascii="Arial" w:cs="Arial" w:eastAsia="Arial" w:hAnsi="Arial"/>
                <w:b/>
                <w:bCs/>
                <w:i w:val="false"/>
                <w:iCs w:val="false"/>
                <w:color w:val="FFFFFF"/>
                <w:sz w:val="20"/>
                <w:szCs w:val="20"/>
              </w:rPr>
              <w:t xml:space="preserve">Direct franchisee-level exit (10x)</w:t>
            </w:r>
          </w:p>
        </w:tc>
        <w:tc>
          <w:tcPr>
            <w:tcW w:type="dxa" w:w="308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$18.8M</w:t>
            </w:r>
          </w:p>
        </w:tc>
        <w:tc>
          <w:tcPr>
            <w:tcW w:type="dxa" w:w="308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center"/>
            </w:pPr>
            <w:r>
              <w:rPr>
                <w:rFonts w:ascii="Arial" w:cs="Arial" w:eastAsia="Arial" w:hAnsi="Arial"/>
                <w:b w:val="false"/>
                <w:bCs w:val="false"/>
                <w:i/>
                <w:iCs/>
                <w:color w:val="FFFFFF"/>
                <w:sz w:val="16"/>
                <w:szCs w:val="16"/>
              </w:rPr>
              <w:t xml:space="preserve">Franchisee network enterprise value lift</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What ServiceBridge asks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Year</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Investment @ 10% buy-in (baseline)</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Cumulative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1</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$70,359</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$70,359</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2</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$70,359</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$140,718</w:t>
            </w:r>
          </w:p>
        </w:tc>
      </w:tr>
      <w:tr>
        <w:tc>
          <w:tcPr>
            <w:tcW w:type="dxa" w:w="3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3</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$70,359</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$211,077</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Stretch case for context: at 25% buy-in, Year 1 ARR jumps to $175,898 and 3-year cumulative reaches $527,694. We don't lead with this — 10% is our working baseline. 25% is what the math becomes if early wins compound.</w:t>
      </w:r>
    </w:p>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The ratio that lands this with PE</w:t>
            </w:r>
          </w:p>
          <w:p>
            <w:r>
              <w:rPr>
                <w:rFonts w:ascii="Arial" w:cs="Arial" w:eastAsia="Arial" w:hAnsi="Arial"/>
                <w:sz w:val="22"/>
                <w:szCs w:val="22"/>
              </w:rPr>
              <w:t xml:space="preserve">At 10% buy-in for Five Star Franchising — our conservative working baseline — franchisee-level exit value creation is ~$19M (10% penetration × $8K/tech EBITDA × 10x multiple). 3-year cumulative ServiceBridge investment is ~$211.08K at 10% buy-in. The ratio of value created to platform cost is roughly 89x. This is the arithmetic that franchisor CFOs and PE operating partners use to evaluate platform initiatives — and 10% is intentionally the floor we set the conversation at, not the ceiling.</w:t>
            </w:r>
          </w:p>
        </w:tc>
      </w:tr>
    </w:tbl>
    <w:p>
      <w:pPr>
        <w:spacing w:after="100" w:before="200"/>
      </w:pPr>
      <w:r>
        <w:rPr>
          <w:rFonts w:ascii="Arial" w:cs="Arial" w:eastAsia="Arial" w:hAnsi="Arial"/>
          <w:b/>
          <w:bCs/>
          <w:color w:val="1A2B3C"/>
          <w:sz w:val="22"/>
          <w:szCs w:val="22"/>
        </w:rPr>
        <w:t xml:space="preserve">How the math shifts with adoption</w:t>
      </w:r>
    </w:p>
    <w:p>
      <w:pPr>
        <w:spacing w:after="80" w:before="80"/>
      </w:pPr>
      <w:r>
        <w:rPr>
          <w:rFonts w:ascii="Arial" w:cs="Arial" w:eastAsia="Arial" w:hAnsi="Arial"/>
          <w:sz w:val="22"/>
          <w:szCs w:val="22"/>
        </w:rPr>
        <w:t xml:space="preserve">At different network penetration rates, the franchisee-level exit value created by a Five Star Franchising ServiceBridge rollout scales: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Buy-in rate</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Techs adopting</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Network EBITDA lift</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Franchisee exit value (10x)</w:t>
            </w:r>
          </w:p>
        </w:tc>
      </w:tr>
      <w:tr>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10% (working baseline)</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235</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$1.9M</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$19M</w:t>
            </w:r>
          </w:p>
        </w:tc>
      </w:tr>
      <w:tr>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25% (stretch case)</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588</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$4.7M</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2"/>
                <w:szCs w:val="22"/>
              </w:rPr>
              <w:t xml:space="preserve">$47M</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How we engage</w:t>
      </w:r>
    </w:p>
    <w:p>
      <w:pPr>
        <w:pStyle w:val="Heading2"/>
        <w:spacing w:after="140" w:before="280"/>
      </w:pPr>
      <w:r>
        <w:rPr>
          <w:rFonts w:ascii="Arial" w:cs="Arial" w:eastAsia="Arial" w:hAnsi="Arial"/>
          <w:b/>
          <w:bCs/>
          <w:color w:val="185FA5"/>
          <w:sz w:val="26"/>
          <w:szCs w:val="26"/>
        </w:rPr>
        <w:t xml:space="preserve">Engagement urgency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URGENCY SCORE</w:t>
            </w:r>
          </w:p>
        </w:tc>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TIME-TO-ENGAGE</w:t>
            </w:r>
          </w:p>
        </w:tc>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STRATEGIC RANK</w:t>
            </w:r>
          </w:p>
        </w:tc>
      </w:tr>
      <w:tr>
        <w:tc>
          <w:tcPr>
            <w:tcW w:type="dxa" w:w="3120"/>
            <w:tcBorders>
              <w:top w:val="single" w:color="CCCCCC" w:sz="4"/>
              <w:left w:val="single" w:color="CCCCCC" w:sz="4"/>
              <w:bottom w:val="single" w:color="CCCCCC" w:sz="4"/>
              <w:right w:val="single" w:color="CCCCCC" w:sz="4"/>
            </w:tcBorders>
            <w:shd w:fill="FFF1D6" w:val="clear"/>
            <w:tcMar>
              <w:top w:type="dxa" w:w="80"/>
              <w:left w:type="dxa" w:w="120"/>
              <w:bottom w:type="dxa" w:w="80"/>
              <w:right w:type="dxa" w:w="120"/>
            </w:tcMar>
          </w:tcPr>
          <w:p>
            <w:pPr>
              <w:jc w:val="center"/>
            </w:pPr>
            <w:r>
              <w:rPr>
                <w:rFonts w:ascii="Arial" w:cs="Arial" w:eastAsia="Arial" w:hAnsi="Arial"/>
                <w:b/>
                <w:bCs/>
                <w:i w:val="false"/>
                <w:iCs w:val="false"/>
                <w:color w:val="8B5A00"/>
                <w:sz w:val="32"/>
                <w:szCs w:val="32"/>
              </w:rPr>
              <w:t xml:space="preserve">9 / 15</w:t>
            </w:r>
          </w:p>
        </w:tc>
        <w:tc>
          <w:tcPr>
            <w:tcW w:type="dxa" w:w="3120"/>
            <w:tcBorders>
              <w:top w:val="single" w:color="CCCCCC" w:sz="4"/>
              <w:left w:val="single" w:color="CCCCCC" w:sz="4"/>
              <w:bottom w:val="single" w:color="CCCCCC" w:sz="4"/>
              <w:right w:val="single" w:color="CCCCCC" w:sz="4"/>
            </w:tcBorders>
            <w:shd w:fill="FFF1D6" w:val="clear"/>
            <w:tcMar>
              <w:top w:type="dxa" w:w="80"/>
              <w:left w:type="dxa" w:w="120"/>
              <w:bottom w:type="dxa" w:w="80"/>
              <w:right w:type="dxa" w:w="120"/>
            </w:tcMar>
          </w:tcPr>
          <w:p>
            <w:pPr>
              <w:jc w:val="center"/>
            </w:pPr>
            <w:r>
              <w:rPr>
                <w:rFonts w:ascii="Arial" w:cs="Arial" w:eastAsia="Arial" w:hAnsi="Arial"/>
                <w:b/>
                <w:bCs/>
                <w:i w:val="false"/>
                <w:iCs w:val="false"/>
                <w:color w:val="8B5A00"/>
                <w:sz w:val="22"/>
                <w:szCs w:val="22"/>
              </w:rPr>
              <w:t xml:space="preserve">NEAR-TERM (Wks 5-9)</w:t>
            </w:r>
          </w:p>
        </w:tc>
        <w:tc>
          <w:tcPr>
            <w:tcW w:type="dxa" w:w="312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1A2B3C"/>
                <w:sz w:val="22"/>
                <w:szCs w:val="22"/>
              </w:rPr>
              <w:t xml:space="preserve">#5 of 7  (WEDGE-BRAND)</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Why this urgency score — 5-signal breakdown</w:t>
      </w:r>
    </w:p>
    <w:tbl>
      <w:tblPr>
        <w:tblW w:type="dxa" w:w="129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900"/>
        <w:gridCol w:w="9000"/>
      </w:tblGrid>
      <w:tr>
        <w:trPr>
          <w:tblHeader/>
        </w:trPr>
        <w:tc>
          <w:tcPr>
            <w:tcW w:type="dxa" w:w="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Signal</w:t>
            </w:r>
          </w:p>
        </w:tc>
        <w:tc>
          <w:tcPr>
            <w:tcW w:type="dxa" w:w="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7"/>
                <w:szCs w:val="17"/>
              </w:rPr>
              <w:t xml:space="preserve">Score</w:t>
            </w:r>
          </w:p>
        </w:tc>
        <w:tc>
          <w:tcPr>
            <w:tcW w:type="dxa" w:w="9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Why this score</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Leadership transition</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Bidwell (Five Star President) settled. Conrad known legacy contact. No tech-mandating transition window.</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In-window event presence</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PestWorld October out of 4-6 week window. No Five Star/Mosquito Shield target at FCXC. But Mosquito Shield brand visibly active in industry circles.</w:t>
            </w:r>
          </w:p>
        </w:tc>
      </w:tr>
      <w:tr>
        <w:tc>
          <w:tcPr>
            <w:tcW w:type="dxa" w:w="6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Active buying-mode signals</w:t>
            </w:r>
          </w:p>
        </w:tc>
        <w:tc>
          <w:tcPr>
            <w:tcW w:type="dxa" w:w="9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2/3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Mosquito Shield active in pest industry events. ProNexis call center backend = no FSM at franchisor; brand-level evaluation more active than corporate-level.</w:t>
            </w:r>
          </w:p>
        </w:tc>
      </w:tr>
      <w:tr>
        <w:tc>
          <w:tcPr>
            <w:tcW w:type="dxa" w:w="6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Existing access vector</w:t>
            </w:r>
          </w:p>
        </w:tc>
        <w:tc>
          <w:tcPr>
            <w:tcW w:type="dxa" w:w="9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3/3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EXISTING GPSI RELATIONSHIP — Andrea pulling overlap list this week. Highest immediate-actionability signal in entire P1 set.</w:t>
            </w:r>
          </w:p>
        </w:tc>
      </w:tr>
      <w:tr>
        <w:tc>
          <w:tcPr>
            <w:tcW w:type="dxa" w:w="6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Active vendor evaluation</w:t>
            </w:r>
          </w:p>
        </w:tc>
        <w:tc>
          <w:tcPr>
            <w:tcW w:type="dxa" w:w="9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2/3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Existing GPSI overlap = pre-existing relationship + customer pain visibility. Soft but real evaluation signal. Phase 1 highest-confidence opportunity.</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What this means — first engagement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1D6"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Where to start with Five Star Franchising this week</w:t>
            </w:r>
          </w:p>
          <w:p>
            <w:r>
              <w:rPr>
                <w:rFonts w:ascii="Arial" w:cs="Arial" w:eastAsia="Arial" w:hAnsi="Arial"/>
                <w:sz w:val="22"/>
                <w:szCs w:val="22"/>
              </w:rPr>
              <w:t xml:space="preserve">Five Star is the easiest Phase 1 win available — existing GPSI relationship plus Andrea pulling the overlap list this week makes engagement immediately actionable. Mosquito Shield is the wedge brand. Light marginal lift makes this the right '4th conversation' to capture without overstretching capacity.</w:t>
            </w:r>
          </w:p>
        </w:tc>
      </w:tr>
    </w:tbl>
    <w:p>
      <w:pPr>
        <w:spacing w:after="80" w:before="80"/>
      </w:pPr>
      <w:r>
        <w:rPr>
          <w:rFonts w:ascii="Arial" w:cs="Arial" w:eastAsia="Arial" w:hAnsi="Arial"/>
          <w:b w:val="false"/>
          <w:bCs w:val="false"/>
          <w:sz w:val="22"/>
          <w:szCs w:val="22"/>
        </w:rPr>
        <w:t xml:space="preserve">1. Wk 1: Andrea pulls GPSI/Mosquito Shield overlap list. Mike + Andrea 30-min review of segmented operators (existing GPSI customers vs prospects).</w:t>
      </w:r>
    </w:p>
    <w:p>
      <w:pPr>
        <w:spacing w:after="80" w:before="80"/>
      </w:pPr>
      <w:r>
        <w:rPr>
          <w:rFonts w:ascii="Arial" w:cs="Arial" w:eastAsia="Arial" w:hAnsi="Arial"/>
          <w:b w:val="false"/>
          <w:bCs w:val="false"/>
          <w:sz w:val="22"/>
          <w:szCs w:val="22"/>
        </w:rPr>
        <w:t xml:space="preserve">2. Wk 2-3: Marketing teammates lead operator-level outreach to existing-relationship Mosquito Shield franchisees — soft re-engagement framing, not cold pitch.</w:t>
      </w:r>
    </w:p>
    <w:p>
      <w:pPr>
        <w:spacing w:after="80" w:before="80"/>
      </w:pPr>
      <w:r>
        <w:rPr>
          <w:rFonts w:ascii="Arial" w:cs="Arial" w:eastAsia="Arial" w:hAnsi="Arial"/>
          <w:b w:val="false"/>
          <w:bCs w:val="false"/>
          <w:sz w:val="22"/>
          <w:szCs w:val="22"/>
        </w:rPr>
        <w:t xml:space="preserve">3. Wk 3-4: LinkedIn articles touch Mosquito Shield's pest-vertical context naturally. No specific Five Star tagging needed.</w:t>
      </w:r>
    </w:p>
    <w:p>
      <w:pPr>
        <w:spacing w:after="80" w:before="80"/>
      </w:pPr>
      <w:r>
        <w:rPr>
          <w:rFonts w:ascii="Arial" w:cs="Arial" w:eastAsia="Arial" w:hAnsi="Arial"/>
          <w:b w:val="false"/>
          <w:bCs w:val="false"/>
          <w:sz w:val="22"/>
          <w:szCs w:val="22"/>
        </w:rPr>
        <w:t xml:space="preserve">4. Wk 4-6: Convert engaged Mosquito Shield operators into Five Star corporate introduction (Bidwell/Conrad). Bottom-up creates top-down opening.</w:t>
      </w:r>
    </w:p>
    <w:p>
      <w:pPr>
        <w:pBdr>
          <w:bottom w:val="single" w:color="185FA5" w:sz="6" w:space="1"/>
        </w:pBdr>
        <w:spacing w:after="120" w:before="120"/>
      </w:pPr>
    </w:p>
    <w:p>
      <w:pPr>
        <w:pStyle w:val="Heading2"/>
        <w:spacing w:after="140" w:before="280"/>
      </w:pPr>
      <w:r>
        <w:rPr>
          <w:rFonts w:ascii="Arial" w:cs="Arial" w:eastAsia="Arial" w:hAnsi="Arial"/>
          <w:b/>
          <w:bCs/>
          <w:color w:val="185FA5"/>
          <w:sz w:val="26"/>
          <w:szCs w:val="26"/>
        </w:rPr>
        <w:t xml:space="preserve">Where this one sits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5F5F5"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Five Star Franchising is ranked 5 of 7 P1 targets — character: WEDGE-BRAND</w:t>
            </w:r>
          </w:p>
          <w:p>
            <w:r>
              <w:rPr>
                <w:rFonts w:ascii="Arial" w:cs="Arial" w:eastAsia="Arial" w:hAnsi="Arial"/>
                <w:sz w:val="22"/>
                <w:szCs w:val="22"/>
              </w:rPr>
              <w:t xml:space="preserve">WEDGE-BRAND character. Mosquito Shield (400+ territories) is the entry point. Smaller scale, tactical pipeline fill. Score 59.2 (V2 weighted across 7 dimensions — see 'How we scored this' below). We pair this with ResiBrands for parallel execution. Not a strategic platform anchor.</w:t>
            </w:r>
          </w:p>
        </w:tc>
      </w:tr>
    </w:tbl>
    <w:p>
      <w:pPr>
        <w:pStyle w:val="Heading2"/>
        <w:spacing w:after="140" w:before="280"/>
      </w:pPr>
      <w:r>
        <w:rPr>
          <w:rFonts w:ascii="Arial" w:cs="Arial" w:eastAsia="Arial" w:hAnsi="Arial"/>
          <w:b/>
          <w:bCs/>
          <w:color w:val="185FA5"/>
          <w:sz w:val="26"/>
          <w:szCs w:val="26"/>
        </w:rPr>
        <w:t xml:space="preserve">Where I think we wedge in</w:t>
      </w:r>
    </w:p>
    <w:p>
      <w:pPr>
        <w:spacing w:after="80" w:before="80"/>
      </w:pPr>
      <w:r>
        <w:rPr>
          <w:rFonts w:ascii="Arial" w:cs="Arial" w:eastAsia="Arial" w:hAnsi="Arial"/>
          <w:sz w:val="22"/>
          <w:szCs w:val="22"/>
        </w:rPr>
        <w:t xml:space="preserve">Mosquito Shield (400+ territories) is pest control — fleet-heavy, recurring revenue, route-dense. Classic GPS Insight + ServiceBridge bundle use case. Win Mosquito Shield → expand to other Five Star concepts.</w:t>
      </w:r>
    </w:p>
    <w:p>
      <w:pPr>
        <w:pStyle w:val="ListParagraph"/>
        <w:numPr>
          <w:ilvl w:val="0"/>
          <w:numId w:val="2"/>
        </w:numPr>
        <w:spacing w:after="40" w:before="40"/>
      </w:pPr>
      <w:r>
        <w:rPr>
          <w:rFonts w:ascii="Arial" w:cs="Arial" w:eastAsia="Arial" w:hAnsi="Arial"/>
          <w:sz w:val="22"/>
          <w:szCs w:val="22"/>
        </w:rPr>
        <w:t xml:space="preserve">Mosquito Shield is the only Five Star brand at meaningful scale — lead with it.</w:t>
      </w:r>
    </w:p>
    <w:p>
      <w:pPr>
        <w:pStyle w:val="ListParagraph"/>
        <w:numPr>
          <w:ilvl w:val="0"/>
          <w:numId w:val="2"/>
        </w:numPr>
        <w:spacing w:after="40" w:before="40"/>
      </w:pPr>
      <w:r>
        <w:rPr>
          <w:rFonts w:ascii="Arial" w:cs="Arial" w:eastAsia="Arial" w:hAnsi="Arial"/>
          <w:sz w:val="22"/>
          <w:szCs w:val="22"/>
        </w:rPr>
        <w:t xml:space="preserve">GPSI bundle pitch works here — no fleet mandate conflicts found.</w:t>
      </w:r>
    </w:p>
    <w:p>
      <w:pPr>
        <w:pStyle w:val="ListParagraph"/>
        <w:numPr>
          <w:ilvl w:val="0"/>
          <w:numId w:val="2"/>
        </w:numPr>
        <w:spacing w:after="40" w:before="40"/>
      </w:pPr>
      <w:r>
        <w:rPr>
          <w:rFonts w:ascii="Arial" w:cs="Arial" w:eastAsia="Arial" w:hAnsi="Arial"/>
          <w:sz w:val="22"/>
          <w:szCs w:val="22"/>
        </w:rPr>
        <w:t xml:space="preserve">Position ServiceBridge as behind ProNexis call center — complement, not replacement.</w:t>
      </w:r>
    </w:p>
    <w:p>
      <w:pPr>
        <w:pStyle w:val="ListParagraph"/>
        <w:numPr>
          <w:ilvl w:val="0"/>
          <w:numId w:val="2"/>
        </w:numPr>
        <w:spacing w:after="40" w:before="40"/>
      </w:pPr>
      <w:r>
        <w:rPr>
          <w:rFonts w:ascii="Arial" w:cs="Arial" w:eastAsia="Arial" w:hAnsi="Arial"/>
          <w:sz w:val="22"/>
          <w:szCs w:val="22"/>
        </w:rPr>
        <w:t xml:space="preserve">Run Five Star and ResiBrands in parallel as tactical pipeline.</w:t>
      </w:r>
    </w:p>
    <w:p>
      <w:pPr>
        <w:pStyle w:val="Heading2"/>
        <w:spacing w:after="140" w:before="280"/>
      </w:pPr>
      <w:r>
        <w:rPr>
          <w:rFonts w:ascii="Arial" w:cs="Arial" w:eastAsia="Arial" w:hAnsi="Arial"/>
          <w:b/>
          <w:bCs/>
          <w:color w:val="185FA5"/>
          <w:sz w:val="26"/>
          <w:szCs w:val="26"/>
        </w:rPr>
        <w:t xml:space="preserve">Warm path — where we stand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Target person</w:t>
            </w:r>
          </w:p>
        </w:tc>
        <w:tc>
          <w:tcPr>
            <w:tcW w:type="dxa" w:w="31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Role</w:t>
            </w:r>
          </w:p>
        </w:tc>
        <w:tc>
          <w:tcPr>
            <w:tcW w:type="dxa" w:w="31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Warm path</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Scott Abbott</w:t>
            </w:r>
          </w:p>
        </w:tc>
        <w:tc>
          <w:tcPr>
            <w:tcW w:type="dxa" w:w="31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CEO</w:t>
            </w:r>
          </w:p>
        </w:tc>
        <w:tc>
          <w:tcPr>
            <w:tcW w:type="dxa" w:w="318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left"/>
            </w:pPr>
            <w:r>
              <w:rPr>
                <w:rFonts w:ascii="Arial" w:cs="Arial" w:eastAsia="Arial" w:hAnsi="Arial"/>
                <w:b/>
                <w:bCs/>
                <w:i w:val="false"/>
                <w:iCs w:val="false"/>
                <w:color w:val="701010"/>
                <w:sz w:val="20"/>
                <w:szCs w:val="20"/>
              </w:rPr>
              <w:t xml:space="preserve">None identified — Princeton Equity network possible</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 Accel-KKR work — open item</w:t>
            </w:r>
          </w:p>
          <w:p>
            <w:r>
              <w:rPr>
                <w:rFonts w:ascii="Arial" w:cs="Arial" w:eastAsia="Arial" w:hAnsi="Arial"/>
                <w:sz w:val="22"/>
                <w:szCs w:val="22"/>
              </w:rPr>
              <w:t xml:space="preserve">The Accel-KKR warm-path work remains open pending GPSI team's activation. Specific introduction targets and timing are in discussion. This document will be updated as that path materializes.</w:t>
            </w:r>
          </w:p>
        </w:tc>
      </w:tr>
    </w:tbl>
    <w:p>
      <w:pPr>
        <w:pStyle w:val="Heading2"/>
        <w:spacing w:after="140" w:before="280"/>
      </w:pPr>
      <w:r>
        <w:rPr>
          <w:rFonts w:ascii="Arial" w:cs="Arial" w:eastAsia="Arial" w:hAnsi="Arial"/>
          <w:b/>
          <w:bCs/>
          <w:color w:val="185FA5"/>
          <w:sz w:val="26"/>
          <w:szCs w:val="26"/>
        </w:rPr>
        <w:t xml:space="preserve">How I see this playing out</w:t>
      </w:r>
    </w:p>
    <w:p>
      <w:pPr>
        <w:spacing w:after="80" w:before="80"/>
      </w:pPr>
      <w:r>
        <w:rPr>
          <w:rFonts w:ascii="Arial" w:cs="Arial" w:eastAsia="Arial" w:hAnsi="Arial"/>
          <w:b/>
          <w:bCs/>
          <w:color w:val="185FA5"/>
          <w:sz w:val="22"/>
          <w:szCs w:val="22"/>
        </w:rPr>
        <w:t xml:space="preserve">Step 1. </w:t>
      </w:r>
      <w:r>
        <w:rPr>
          <w:rFonts w:ascii="Arial" w:cs="Arial" w:eastAsia="Arial" w:hAnsi="Arial"/>
          <w:sz w:val="22"/>
          <w:szCs w:val="22"/>
        </w:rPr>
        <w:t xml:space="preserve">Find warm path to Abbott via GPSI team's network or Princeton Equity operating partners.</w:t>
      </w:r>
    </w:p>
    <w:p>
      <w:pPr>
        <w:spacing w:after="80" w:before="80"/>
      </w:pPr>
      <w:r>
        <w:rPr>
          <w:rFonts w:ascii="Arial" w:cs="Arial" w:eastAsia="Arial" w:hAnsi="Arial"/>
          <w:b/>
          <w:bCs/>
          <w:color w:val="185FA5"/>
          <w:sz w:val="22"/>
          <w:szCs w:val="22"/>
        </w:rPr>
        <w:t xml:space="preserve">Step 2. </w:t>
      </w:r>
      <w:r>
        <w:rPr>
          <w:rFonts w:ascii="Arial" w:cs="Arial" w:eastAsia="Arial" w:hAnsi="Arial"/>
          <w:sz w:val="22"/>
          <w:szCs w:val="22"/>
        </w:rPr>
        <w:t xml:space="preserve">Mosquito Shield multi-franchisee conversation — emphasize route optimization + GPSI fleet bundle.</w:t>
      </w:r>
    </w:p>
    <w:p>
      <w:pPr>
        <w:spacing w:after="80" w:before="80"/>
      </w:pPr>
      <w:r>
        <w:rPr>
          <w:rFonts w:ascii="Arial" w:cs="Arial" w:eastAsia="Arial" w:hAnsi="Arial"/>
          <w:b/>
          <w:bCs/>
          <w:color w:val="185FA5"/>
          <w:sz w:val="22"/>
          <w:szCs w:val="22"/>
        </w:rPr>
        <w:t xml:space="preserve">Step 3. </w:t>
      </w:r>
      <w:r>
        <w:rPr>
          <w:rFonts w:ascii="Arial" w:cs="Arial" w:eastAsia="Arial" w:hAnsi="Arial"/>
          <w:sz w:val="22"/>
          <w:szCs w:val="22"/>
        </w:rPr>
        <w:t xml:space="preserve">90-day pilot with 3-5 Mosquito Shield operators.</w:t>
      </w:r>
    </w:p>
    <w:p>
      <w:pPr>
        <w:spacing w:after="80" w:before="80"/>
      </w:pPr>
      <w:r>
        <w:rPr>
          <w:rFonts w:ascii="Arial" w:cs="Arial" w:eastAsia="Arial" w:hAnsi="Arial"/>
          <w:b/>
          <w:bCs/>
          <w:color w:val="185FA5"/>
          <w:sz w:val="22"/>
          <w:szCs w:val="22"/>
        </w:rPr>
        <w:t xml:space="preserve">Step 4. </w:t>
      </w:r>
      <w:r>
        <w:rPr>
          <w:rFonts w:ascii="Arial" w:cs="Arial" w:eastAsia="Arial" w:hAnsi="Arial"/>
          <w:sz w:val="22"/>
          <w:szCs w:val="22"/>
        </w:rPr>
        <w:t xml:space="preserve">Expand to remaining 6 Five Star concepts based on pilot traction.</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Competitive landscape — where the headwinds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My read on Five Star Franchising's FSM landscape</w:t>
            </w:r>
          </w:p>
          <w:p>
            <w:r>
              <w:rPr>
                <w:rFonts w:ascii="Arial" w:cs="Arial" w:eastAsia="Arial" w:hAnsi="Arial"/>
                <w:sz w:val="22"/>
                <w:szCs w:val="22"/>
              </w:rPr>
              <w:t xml:space="preserve">Same architecture as ResiBrands — ProNexis is call center/lead intake only, NOT FSM. Backend is franchisee-choice. Mosquito Shield (400+ territories) is the wedge brand and the best GPSI bundle fit (fleet-heavy pest control). Scott Abbott has single decision authority. Tactical close paired with ResiBrands.</w:t>
            </w:r>
          </w:p>
        </w:tc>
      </w:tr>
    </w:tbl>
    <w:p>
      <w:pPr>
        <w:pStyle w:val="Heading2"/>
        <w:spacing w:after="140" w:before="280"/>
      </w:pPr>
      <w:r>
        <w:rPr>
          <w:rFonts w:ascii="Arial" w:cs="Arial" w:eastAsia="Arial" w:hAnsi="Arial"/>
          <w:b/>
          <w:bCs/>
          <w:color w:val="185FA5"/>
          <w:sz w:val="26"/>
          <w:szCs w:val="26"/>
        </w:rPr>
        <w:t xml:space="preserve">Brand-by-brand FSM map</w:t>
      </w:r>
    </w:p>
    <w:p>
      <w:pPr>
        <w:spacing w:after="80" w:before="80"/>
      </w:pPr>
      <w:r>
        <w:rPr>
          <w:rFonts w:ascii="Arial" w:cs="Arial" w:eastAsia="Arial" w:hAnsi="Arial"/>
          <w:sz w:val="22"/>
          <w:szCs w:val="22"/>
        </w:rPr>
        <w:t xml:space="preserve">Where each brand stands on FSM today, who pays for it, and how big the headwind is for displacement. Highlights where we have open territory vs where the incumbent is locked in.</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800"/>
        <w:gridCol w:w="1100"/>
        <w:gridCol w:w="950"/>
        <w:gridCol w:w="3330"/>
      </w:tblGrid>
      <w:tr>
        <w:trPr>
          <w:tblHeader/>
        </w:trPr>
        <w:tc>
          <w:tcPr>
            <w:tcW w:type="dxa" w:w="17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Brand</w:t>
            </w:r>
          </w:p>
        </w:tc>
        <w:tc>
          <w:tcPr>
            <w:tcW w:type="dxa" w:w="1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Current FSM</w:t>
            </w:r>
          </w:p>
        </w:tc>
        <w:tc>
          <w:tcPr>
            <w:tcW w:type="dxa" w:w="1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Mandate vs choice</w:t>
            </w:r>
          </w:p>
        </w:tc>
        <w:tc>
          <w:tcPr>
            <w:tcW w:type="dxa" w:w="11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Headwind</w:t>
            </w:r>
          </w:p>
        </w:tc>
        <w:tc>
          <w:tcPr>
            <w:tcW w:type="dxa" w:w="95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GPO</w:t>
            </w:r>
          </w:p>
        </w:tc>
        <w:tc>
          <w:tcPr>
            <w:tcW w:type="dxa" w:w="333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My read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Mosquito Shield</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backend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400+ territories. Fleet-heavy pest control = best GPSI bundle fit in tactical tier.</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Five Star Painting</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backend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Painting vertical.</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Bin There Dump That</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backend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Dumpster rental specialty.</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Gotcha Covered</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backend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Window treatments.</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S.W.A.T. Pest Control</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backend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Pest control. Fleet fit similar to Mosquito Shield.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Kitchen Tune-Up</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backend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Kitchen refacing/refresh.</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Bath Tune-Up</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backend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Bath remodeling. Newer brand.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ProNexis (call center)</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Five Star proprietary</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Franchisor product (call center)</w:t>
            </w:r>
          </w:p>
        </w:tc>
        <w:tc>
          <w:tcPr>
            <w:tcW w:type="dxa" w:w="11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16"/>
                <w:szCs w:val="16"/>
              </w:rPr>
              <w:t xml:space="preserve">NOT FSM</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Call center / lead intake only. NOT FSM. ServiceBridge slots in cleanly behind ProNexis.</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Headwind shorthand: LOW = open territory · MEDIUM = displacement effort · HIGH = entrenched specialty · LOCKED = mandated incumbent · HARD CONFLICT = competing against existing GPSI partnership · OPPORTUNITY = potential integration angle · NOT FSM = different category, no conflict · TBD = headwind level not yet determined.</w:t>
      </w:r>
    </w:p>
    <w:p>
      <w:pPr>
        <w:pStyle w:val="Heading2"/>
        <w:spacing w:after="140" w:before="280"/>
      </w:pPr>
      <w:r>
        <w:rPr>
          <w:rFonts w:ascii="Arial" w:cs="Arial" w:eastAsia="Arial" w:hAnsi="Arial"/>
          <w:b/>
          <w:bCs/>
          <w:color w:val="185FA5"/>
          <w:sz w:val="26"/>
          <w:szCs w:val="26"/>
        </w:rPr>
        <w:t xml:space="preserve">How this shapes our approach</w:t>
      </w:r>
    </w:p>
    <w:p>
      <w:pPr>
        <w:spacing w:after="80" w:before="80"/>
      </w:pPr>
      <w:r>
        <w:rPr>
          <w:rFonts w:ascii="Arial" w:cs="Arial" w:eastAsia="Arial" w:hAnsi="Arial"/>
          <w:sz w:val="22"/>
          <w:szCs w:val="22"/>
        </w:rPr>
        <w:t xml:space="preserve">The headwind map tells us where to wedge in first. We lead with LOW headwind brands to build proof points, then bring those wins into MEDIUM headwind conversations. We avoid LOCKED brands entirely. HARD CONFLICT items get flagged to figure out together with the team — that's where partnership choreography matters most.</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Marketing touches &amp; warm-up tactics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section exists</w:t>
            </w:r>
          </w:p>
          <w:p>
            <w:r>
              <w:rPr>
                <w:rFonts w:ascii="Arial" w:cs="Arial" w:eastAsia="Arial" w:hAnsi="Arial"/>
                <w:sz w:val="22"/>
                <w:szCs w:val="22"/>
              </w:rPr>
              <w:t xml:space="preserve">PE warm path is high-leverage but slow. We can't depend on KKR or Apax or MidOcean to schedule the meeting that gets us in. We need GPS Insight and ServiceBridge to be names franchisor leadership has heard before — multiple times, through multiple channels — by the time the warm path activates. This section is the framework for that. Marketing ownership sits with Marketing teammates; my read is here to give us a starting point.</w:t>
            </w:r>
          </w:p>
        </w:tc>
      </w:tr>
    </w:tbl>
    <w:p>
      <w:pPr>
        <w:pStyle w:val="Heading2"/>
        <w:spacing w:after="140" w:before="280"/>
      </w:pPr>
      <w:r>
        <w:rPr>
          <w:rFonts w:ascii="Arial" w:cs="Arial" w:eastAsia="Arial" w:hAnsi="Arial"/>
          <w:b/>
          <w:bCs/>
          <w:color w:val="185FA5"/>
          <w:sz w:val="26"/>
          <w:szCs w:val="26"/>
        </w:rPr>
        <w:t xml:space="preserve">The framework — 7 channels we should be working in parallel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6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it does for us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Event presence</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Show up where they show up. IFA Annual, franchisor annual conventions, vertical-specific industry events. Booth, sponsorship, or attendee — physical proximity matters.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LinkedIn engagement</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Authentic, sustained engagement with executive content. Not spammy comments — real engagement that demonstrates we understand their business. Build name recognition over months, not weeks.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Challenge coin / branded touch</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Tasteful, deliberate physical touches sent with personal notes. Not mass mailers — hand-delivered or hand-mailed to named executives. Signals 'we built something we care about,' not 'we want to sell you something.'</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Press / earned media</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Get GPS Insight + ServiceBridge into franchise industry publications they read. Franchise Times, Franchise Update, Entrepreneur Franchise, FranchiseWire. Plus vertical-specific trade press for franchisee-level reach.</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Mutual connections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Map who in our combined networks already touches their network. Mutual LinkedIn connections, ex-colleagues, industry friends. Quietly identify warm second-degree paths to executives.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Inbound franchisee signal</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If a franchisee inquires about ServiceBridge, that signal travels back upstream. Franchisee-level adoption creates pull at the franchisor level. We track these and use them deliberately.</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Sponsorships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Strategic sponsorship of franchisor events, IFA tracks, vertical conferences where target executives are speaking. Visibility plus credibility plus the chance to host a meeting on-site.</w:t>
            </w:r>
          </w:p>
        </w:tc>
      </w:tr>
    </w:tbl>
    <w:p>
      <w:pPr>
        <w:pStyle w:val="Heading2"/>
        <w:spacing w:after="140" w:before="280"/>
      </w:pPr>
      <w:r>
        <w:rPr>
          <w:rFonts w:ascii="Arial" w:cs="Arial" w:eastAsia="Arial" w:hAnsi="Arial"/>
          <w:b/>
          <w:bCs/>
          <w:color w:val="185FA5"/>
          <w:sz w:val="26"/>
          <w:szCs w:val="26"/>
        </w:rPr>
        <w:t xml:space="preserve">What I see for Five Star Franchising specifically</w:t>
      </w:r>
    </w:p>
    <w:p>
      <w:pPr>
        <w:spacing w:after="100" w:before="200"/>
      </w:pPr>
      <w:r>
        <w:rPr>
          <w:rFonts w:ascii="Arial" w:cs="Arial" w:eastAsia="Arial" w:hAnsi="Arial"/>
          <w:b/>
          <w:bCs/>
          <w:color w:val="1A2B3C"/>
          <w:sz w:val="22"/>
          <w:szCs w:val="22"/>
        </w:rPr>
        <w:t xml:space="preserve">Past events — what we can learn</w:t>
      </w:r>
    </w:p>
    <w:p>
      <w:pPr>
        <w:spacing w:after="80" w:before="80"/>
      </w:pPr>
      <w:r>
        <w:rPr>
          <w:rFonts w:ascii="Arial" w:cs="Arial" w:eastAsia="Arial" w:hAnsi="Arial"/>
          <w:sz w:val="22"/>
          <w:szCs w:val="22"/>
        </w:rPr>
        <w:t xml:space="preserve">If an event already happened, it's no longer an engagement priority. But we can still mine it for intel — vendor lists, recognized franchisees, leadership themes, who spoke on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2680"/>
        <w:gridCol w:w="268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1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When</w:t>
            </w:r>
          </w:p>
        </w:tc>
        <w:tc>
          <w:tcPr>
            <w:tcW w:type="dxa" w:w="26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Context</w:t>
            </w:r>
          </w:p>
        </w:tc>
        <w:tc>
          <w:tcPr>
            <w:tcW w:type="dxa" w:w="26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we should look for</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Annual Convention 2026</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22-25 2026, Las Vegas</w:t>
            </w:r>
          </w:p>
        </w:tc>
        <w:tc>
          <w:tcPr>
            <w:tcW w:type="dxa" w:w="2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Scott Abbott IFA presence.</w:t>
            </w:r>
          </w:p>
        </w:tc>
        <w:tc>
          <w:tcPr>
            <w:tcW w:type="dxa" w:w="268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Confirm whether Abbott attended/spoke.</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Upcoming events — where to engage</w:t>
      </w:r>
    </w:p>
    <w:p>
      <w:pPr>
        <w:spacing w:after="80" w:before="80"/>
      </w:pPr>
      <w:r>
        <w:rPr>
          <w:rFonts w:ascii="Arial" w:cs="Arial" w:eastAsia="Arial" w:hAnsi="Arial"/>
          <w:sz w:val="22"/>
          <w:szCs w:val="22"/>
        </w:rPr>
        <w:t xml:space="preserve">Where executives will be in the next 12 months. These are the actual engagement opportunities.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3560"/>
        <w:gridCol w:w="1200"/>
      </w:tblGrid>
      <w:tr>
        <w:trPr>
          <w:tblHeader/>
        </w:trPr>
        <w:tc>
          <w:tcPr>
            <w:tcW w:type="dxa" w:w="2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1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When</w:t>
            </w:r>
          </w:p>
        </w:tc>
        <w:tc>
          <w:tcPr>
            <w:tcW w:type="dxa" w:w="35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it matters</w:t>
            </w:r>
          </w:p>
        </w:tc>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Priority</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PestWorld 2026 (NPMA)</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October 20-23, 2026 — Gaylord Texan, Grapevine, TX</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PRIMARY EVENT — Mosquito Shield (400+ territories) and S.W.A.T. Pest Control franchisees attend. 4,000-4,500 pest pros. Best vertical channel for Five Star's flagship.</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PCA EXPO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16-20, 2027 — New Orleans, LA</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Five Star Painting franchisees attend. Vertical channel.</w:t>
            </w:r>
          </w:p>
        </w:tc>
        <w:tc>
          <w:tcPr>
            <w:tcW w:type="dxa" w:w="12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5"/>
                <w:szCs w:val="15"/>
              </w:rPr>
              <w:t xml:space="preserve">PRIORITY 2</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Annual Convention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22-24, 2027 — Mandalay Bay, Las Vegas</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Scott Abbott typical attendee.</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PestWorld 2027 (NPMA)</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October 26-29, 2027 — Boston</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Same Mosquito Shield targeting next year.</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Multi-Unit Franchising Conference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April 26-29, 2027 — Caesars Forum, Las Vegas</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Multi-unit Mosquito Shield operators attend.</w:t>
            </w:r>
          </w:p>
        </w:tc>
        <w:tc>
          <w:tcPr>
            <w:tcW w:type="dxa" w:w="12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5"/>
                <w:szCs w:val="15"/>
              </w:rPr>
              <w:t xml:space="preserve">PRIORITY 2</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Emerging Franchisor Conference 2026</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November 16-18, 2026 — Nashville, TN</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Five Star's emerging brands (Bath Tune-Up, Gotcha Covered) fit profile. Abbott may attend.</w:t>
            </w:r>
          </w:p>
        </w:tc>
        <w:tc>
          <w:tcPr>
            <w:tcW w:type="dxa" w:w="12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15"/>
                <w:szCs w:val="15"/>
              </w:rPr>
              <w:t xml:space="preserve">STANDARD</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Executives to track</w:t>
      </w:r>
    </w:p>
    <w:p>
      <w:pPr>
        <w:spacing w:after="80" w:before="80"/>
      </w:pPr>
      <w:r>
        <w:rPr>
          <w:rFonts w:ascii="Arial" w:cs="Arial" w:eastAsia="Arial" w:hAnsi="Arial"/>
          <w:sz w:val="22"/>
          <w:szCs w:val="22"/>
        </w:rPr>
        <w:t xml:space="preserve">Where these executives speak, post, or appear publicly is a signal. We track their calendars and look for natural touchpoint opportunities.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Executive</w:t>
            </w:r>
          </w:p>
        </w:tc>
        <w:tc>
          <w:tcPr>
            <w:tcW w:type="dxa" w:w="63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we track them</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Scott Abbott (CEO)</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Single decision anchor. LinkedIn + speaking circuit engagement.</w:t>
            </w:r>
          </w:p>
        </w:tc>
      </w:tr>
    </w:tbl>
    <w:p>
      <w:pPr>
        <w:spacing w:after="100" w:before="200"/>
      </w:pPr>
      <w:r>
        <w:rPr>
          <w:rFonts w:ascii="Arial" w:cs="Arial" w:eastAsia="Arial" w:hAnsi="Arial"/>
          <w:b/>
          <w:bCs/>
          <w:color w:val="1A2B3C"/>
          <w:sz w:val="22"/>
          <w:szCs w:val="22"/>
        </w:rPr>
        <w:t xml:space="preserve">Specific tactics by channel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6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My read for Five Star Franchising</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LinkedIn</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Abbott engagement is primary. Five Star content positioning around franchisee-choice tooling resonates — doesn't threaten ProNexis call center.</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Press / earned media</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Pest control vertical trade press (PCT Magazine, Pest Management Professional) for Mosquito Shield-level visibility. Princeton Equity-portfolio thought leadership for Abbott-level visibility.</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Challenge coin / branded</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Medium-fit. PE-backed but founder-led culture. Coin works at single-CEO level.</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Inbound franchisee signal</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Mosquito Shield (400+ territories) operators are fleet-heavy and route-dense — natural ServiceBridge + GPSI bundle target. Any inbound is strong.</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Mutual connection mapping</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Princeton Equity network, NPMA pest control industry, franchise industry. Marketing teammates may have direct Mosquito Shield touchpoints.</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What I'd land for marketing</w:t>
            </w:r>
          </w:p>
          <w:p>
            <w:r>
              <w:rPr>
                <w:rFonts w:ascii="Arial" w:cs="Arial" w:eastAsia="Arial" w:hAnsi="Arial"/>
                <w:sz w:val="22"/>
                <w:szCs w:val="22"/>
              </w:rPr>
              <w:t xml:space="preserve">Marketing teammates owns marketing execution. My read is we should be running 3-4 of these channels at any given time across each P1 — not all 7 channels for every target. The framework helps us pick the right combination given the warm path status, the engagement window, and what we already know about each franchisor's culture.</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Field tracking — who, where, when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What this section does</w:t>
            </w:r>
          </w:p>
          <w:p>
            <w:r>
              <w:rPr>
                <w:rFonts w:ascii="Arial" w:cs="Arial" w:eastAsia="Arial" w:hAnsi="Arial"/>
                <w:sz w:val="22"/>
                <w:szCs w:val="22"/>
              </w:rPr>
              <w:t xml:space="preserve">Three views that turn the engagement plan into something operational. First, where do existing GPSI telematics relationships give us a warm wedge into Five Star Franchising. Second, which specific named leaders from our intel will be at which events — so we know exactly where to put ourselves alongside them. Third, where the wedge brand franchisees gather — corporate events, vertical-industry events, and brand-specific meetings — so we have multiple entry points beyond just the franchisor.</w:t>
            </w:r>
          </w:p>
        </w:tc>
      </w:tr>
    </w:tbl>
    <w:p>
      <w:pPr>
        <w:pStyle w:val="Heading2"/>
        <w:spacing w:after="140" w:before="280"/>
      </w:pPr>
      <w:r>
        <w:rPr>
          <w:rFonts w:ascii="Arial" w:cs="Arial" w:eastAsia="Arial" w:hAnsi="Arial"/>
          <w:b/>
          <w:bCs/>
          <w:color w:val="185FA5"/>
          <w:sz w:val="26"/>
          <w:szCs w:val="26"/>
        </w:rPr>
        <w:t xml:space="preserve">1. GPSI telematics client overlap</w:t>
      </w:r>
    </w:p>
    <w:p>
      <w:pPr>
        <w:spacing w:after="80" w:before="80"/>
      </w:pPr>
      <w:r>
        <w:rPr>
          <w:rFonts w:ascii="Arial" w:cs="Arial" w:eastAsia="Arial" w:hAnsi="Arial"/>
          <w:sz w:val="22"/>
          <w:szCs w:val="22"/>
        </w:rPr>
        <w:t xml:space="preserve">Existing GPSI customers within this franchisor's franchisee base are our warmest possible wedge — the brand relationship already exists, we extend it to ServiceBridge.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My read on GPSI overlap potential here</w:t>
            </w:r>
          </w:p>
          <w:p>
            <w:r>
              <w:rPr>
                <w:rFonts w:ascii="Arial" w:cs="Arial" w:eastAsia="Arial" w:hAnsi="Arial"/>
                <w:sz w:val="22"/>
                <w:szCs w:val="22"/>
              </w:rPr>
              <w:t xml:space="preserve">Mosquito Shield (400+ territories) is fleet-heavy pest control — HIGHEST-LIKELIHOOD GPSI overlap of any wedge brand in our P1 set. Pest control operators run trucks daily, GPSI is a natural fit. This is THE list to pull first for tactical wins.</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b/>
          <w:bCs/>
          <w:sz w:val="22"/>
          <w:szCs w:val="22"/>
        </w:rPr>
        <w:t xml:space="preserve">Open intel request to Marketing teammates:</w:t>
      </w:r>
    </w:p>
    <w:p>
      <w:pPr>
        <w:spacing w:after="80" w:before="80"/>
      </w:pPr>
      <w:r>
        <w:rPr>
          <w:rFonts w:ascii="Arial" w:cs="Arial" w:eastAsia="Arial" w:hAnsi="Arial"/>
          <w:i/>
          <w:iCs/>
          <w:sz w:val="22"/>
          <w:szCs w:val="22"/>
        </w:rPr>
        <w:t xml:space="preserve">Pull GPSI client list filtered to Five Star Franchising brands, prioritizing Mosquito Shield (400+ territories, fleet-heavy pest control = highest-likelihood GPSI overlap). Then S.W.A.T. Pest Control. These could become immediate warm wedges.</w:t>
      </w:r>
    </w:p>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Status: pending intel from Marketing teammates. Once received, populated here.</w:t>
      </w:r>
    </w:p>
    <w:p>
      <w:pPr>
        <w:pStyle w:val="Heading2"/>
        <w:spacing w:after="140" w:before="280"/>
      </w:pPr>
      <w:r>
        <w:rPr>
          <w:rFonts w:ascii="Arial" w:cs="Arial" w:eastAsia="Arial" w:hAnsi="Arial"/>
          <w:b/>
          <w:bCs/>
          <w:color w:val="185FA5"/>
          <w:sz w:val="26"/>
          <w:szCs w:val="26"/>
        </w:rPr>
        <w:t xml:space="preserve">2. Where the people we want to meet will be</w:t>
      </w:r>
    </w:p>
    <w:p>
      <w:pPr>
        <w:spacing w:after="80" w:before="80"/>
      </w:pPr>
      <w:r>
        <w:rPr>
          <w:rFonts w:ascii="Arial" w:cs="Arial" w:eastAsia="Arial" w:hAnsi="Arial"/>
          <w:sz w:val="22"/>
          <w:szCs w:val="22"/>
        </w:rPr>
        <w:t xml:space="preserve">Cross-reference of leadership map against upcoming events. This is where the engagement actually happens — when a named target is in the same room we're in.</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2700"/>
        <w:gridCol w:w="25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Person</w:t>
            </w:r>
          </w:p>
        </w:tc>
        <w:tc>
          <w:tcPr>
            <w:tcW w:type="dxa" w:w="27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27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they will be there</w:t>
            </w:r>
          </w:p>
        </w:tc>
        <w:tc>
          <w:tcPr>
            <w:tcW w:type="dxa" w:w="25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How we engage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Scott Abbott (CEO)</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IFA Annual 2027 (Feb 22-24 Vegas)</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Standard CEO presence</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Direct CEO touchpoint — single-decision authority makes this high-leverage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Scott Abbott (CEO)</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IFA Emerging Franchisor Conference 2026 (Nov 16-18 Nashville)</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Possible attendee — Five Star's emerging brands fit profile</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Sutton IFA Foundation overlap opportunity</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Mosquito Shield operators</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PestWorld 2026 (Oct 20-23 Grapevine TX)</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PRIMARY pest-vertical channel</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PRIMARY franchisee event for Five Star</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Mosquito Shield operators</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PestWorld 2027 (Oct 26-29 Boston)</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Repeat next year</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Multi-year vertical strategy</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S.W.A.T. Pest Control operators</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PestWorld 2026 (Oct 20-23)</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Same pest-vertical channel</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Secondary brand at same event</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Five Star Painting operators</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PCA EXPO 2027 (Feb 16-20 New Orleans)</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Painting-vertical channel</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Secondary brand outreach</w:t>
            </w:r>
          </w:p>
        </w:tc>
      </w:tr>
    </w:tbl>
    <w:p>
      <w:pPr>
        <w:pStyle w:val="Heading2"/>
        <w:spacing w:after="140" w:before="280"/>
      </w:pPr>
      <w:r>
        <w:rPr>
          <w:rFonts w:ascii="Arial" w:cs="Arial" w:eastAsia="Arial" w:hAnsi="Arial"/>
          <w:b/>
          <w:bCs/>
          <w:color w:val="185FA5"/>
          <w:sz w:val="26"/>
          <w:szCs w:val="26"/>
        </w:rPr>
        <w:t xml:space="preserve">3. Wedge brand field tracking</w:t>
      </w:r>
    </w:p>
    <w:p>
      <w:pPr>
        <w:spacing w:after="80" w:before="80"/>
      </w:pPr>
      <w:r>
        <w:rPr>
          <w:rFonts w:ascii="Arial" w:cs="Arial" w:eastAsia="Arial" w:hAnsi="Arial"/>
          <w:sz w:val="22"/>
          <w:szCs w:val="22"/>
        </w:rPr>
        <w:t xml:space="preserve">If the wedge brand is where we land first, then we need to know exactly where their franchisees and corporate teams gather. Three layers per brand: corporate events, franchisee gatherings, and vertical-industry events.</w:t>
      </w:r>
    </w:p>
    <w:p>
      <w:pPr>
        <w:spacing w:after="100" w:before="200"/>
      </w:pPr>
      <w:r>
        <w:rPr>
          <w:rFonts w:ascii="Arial" w:cs="Arial" w:eastAsia="Arial" w:hAnsi="Arial"/>
          <w:b/>
          <w:bCs/>
          <w:color w:val="1A2B3C"/>
          <w:sz w:val="22"/>
          <w:szCs w:val="22"/>
        </w:rPr>
        <w:t xml:space="preserve">Mosquito Shield (400+ territories — primary wedge, best GPSI fit)</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400"/>
        <w:gridCol w:w="7960"/>
      </w:tblGrid>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Where corporate is</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Five Star annual convention (date TBD — Marketing teammates to confirm)</w:t>
            </w:r>
          </w:p>
        </w:tc>
      </w:tr>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Where franchisees gather</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PestWorld 2026 (Oct 20-23) · PestWorld 2027 (Oct 26-29 Boston) · MUFC 2027</w:t>
            </w:r>
          </w:p>
        </w:tc>
      </w:tr>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Vertical industry events</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PestWorld 2026/2027 (4,000-4,500 pest pros — direct franchisee outreach)</w:t>
            </w:r>
          </w:p>
        </w:tc>
      </w:tr>
      <w:tr>
        <w:tc>
          <w:tcPr>
            <w:tcW w:type="dxa" w:w="2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color w:val="27500A"/>
                <w:sz w:val="17"/>
                <w:szCs w:val="17"/>
              </w:rPr>
              <w:t xml:space="preserve">Specific intel targets</w:t>
            </w:r>
          </w:p>
        </w:tc>
        <w:tc>
          <w:tcPr>
            <w:tcW w:type="dxa" w:w="796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Top 20 Mosquito Shield operators by territory count — request from Marketing teammates</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S.W.A.T. Pest Control — secondary pest vertical</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400"/>
        <w:gridCol w:w="7960"/>
      </w:tblGrid>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Where corporate is</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Five Star annual convention</w:t>
            </w:r>
          </w:p>
        </w:tc>
      </w:tr>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Where franchisees gather</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PestWorld 2026/2027 · MUFC 2027</w:t>
            </w:r>
          </w:p>
        </w:tc>
      </w:tr>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Vertical industry events</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PestWorld 2026/2027</w:t>
            </w:r>
          </w:p>
        </w:tc>
      </w:tr>
      <w:tr>
        <w:tc>
          <w:tcPr>
            <w:tcW w:type="dxa" w:w="2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color w:val="27500A"/>
                <w:sz w:val="17"/>
                <w:szCs w:val="17"/>
              </w:rPr>
              <w:t xml:space="preserve">Specific intel targets</w:t>
            </w:r>
          </w:p>
        </w:tc>
        <w:tc>
          <w:tcPr>
            <w:tcW w:type="dxa" w:w="796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Multi-territory S.W.A.T. operators</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How we use this section</w:t>
            </w:r>
          </w:p>
          <w:p>
            <w:r>
              <w:rPr>
                <w:rFonts w:ascii="Arial" w:cs="Arial" w:eastAsia="Arial" w:hAnsi="Arial"/>
                <w:sz w:val="22"/>
                <w:szCs w:val="22"/>
              </w:rPr>
              <w:t xml:space="preserve">This is the operational layer of the engagement plan. The named-person event map drives who we book meetings with and where we put ourselves. The GPSI overlap tells us which franchisees walk into the conversation already trusting the brand. The wedge brand tracking gives us multiple entry points beyond the franchisor — vertical events, brand meetings, regional gatherings. We update this section as Marketing teammates feeds intel and as event agendas get published.</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Where Marketing teammates have unique line of sight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AF3DE"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How we move from where we are to where we want to be</w:t>
            </w:r>
          </w:p>
          <w:p>
            <w:r>
              <w:rPr>
                <w:rFonts w:ascii="Arial" w:cs="Arial" w:eastAsia="Arial" w:hAnsi="Arial"/>
                <w:sz w:val="22"/>
                <w:szCs w:val="22"/>
              </w:rPr>
              <w:t xml:space="preserve">My read on Five Star Franchising: there are gaps that public research can\'t close — these are the ones where the team\'s tribal knowledge, existing relationships, and access to internal data unlock our biggest leaps. Listed here as collective gaps, not directives. Marketing teammates are best placed to move these forward.</w:t>
            </w:r>
          </w:p>
        </w:tc>
      </w:tr>
    </w:tbl>
    <w:p>
      <w:pPr>
        <w:spacing w:after="80" w:before="80"/>
      </w:pPr>
      <w:r>
        <w:rPr>
          <w:rFonts w:ascii="Arial" w:cs="Arial" w:eastAsia="Arial" w:hAnsi="Arial"/>
          <w:sz w:val="22"/>
          <w:szCs w:val="22"/>
        </w:rPr>
        <w:t xml:space="preserve">A few things where Marketing teammates' tribal knowledge would help me move faster. We'll self-assign owners on the call.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100"/>
        <w:gridCol w:w="2000"/>
        <w:gridCol w:w="2360"/>
      </w:tblGrid>
      <w:tr>
        <w:trPr>
          <w:tblHeader/>
        </w:trPr>
        <w:tc>
          <w:tcPr>
            <w:tcW w:type="dxa" w:w="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Priority</w:t>
            </w:r>
          </w:p>
        </w:tc>
        <w:tc>
          <w:tcPr>
            <w:tcW w:type="dxa" w:w="41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we need to validate</w:t>
            </w:r>
          </w:p>
        </w:tc>
        <w:tc>
          <w:tcPr>
            <w:tcW w:type="dxa" w:w="2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Current value/guess</w:t>
            </w:r>
          </w:p>
        </w:tc>
        <w:tc>
          <w:tcPr>
            <w:tcW w:type="dxa" w:w="23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Owner (assign on call)</w:t>
            </w:r>
          </w:p>
        </w:tc>
      </w:tr>
      <w:tr>
        <w:tc>
          <w:tcPr>
            <w:tcW w:type="dxa" w:w="90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center"/>
            </w:pPr>
            <w:r>
              <w:rPr>
                <w:rFonts w:ascii="Arial" w:cs="Arial" w:eastAsia="Arial" w:hAnsi="Arial"/>
                <w:b/>
                <w:bCs/>
                <w:i w:val="false"/>
                <w:iCs w:val="false"/>
                <w:color w:val="701010"/>
                <w:sz w:val="20"/>
                <w:szCs w:val="20"/>
              </w:rPr>
              <w:t xml:space="preserve">HIGH</w:t>
            </w:r>
          </w:p>
        </w:tc>
        <w:tc>
          <w:tcPr>
            <w:tcW w:type="dxa" w:w="4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FSM backend at Five Star — franchisee-choice confirmation</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8"/>
                <w:szCs w:val="18"/>
              </w:rPr>
              <w:t xml:space="preserve">ProNexis = call center</w:t>
            </w:r>
          </w:p>
        </w:tc>
        <w:tc>
          <w:tcPr>
            <w:tcW w:type="dxa" w:w="2360"/>
            <w:tcBorders>
              <w:top w:val="single" w:color="CCCCCC" w:sz="4"/>
              <w:left w:val="single" w:color="CCCCCC" w:sz="4"/>
              <w:bottom w:val="single" w:color="CCCCCC" w:sz="4"/>
              <w:right w:val="single" w:color="CCCCCC" w:sz="4"/>
            </w:tcBorders>
            <w:shd w:fill="DEEBF7" w:val="clear"/>
            <w:tcMar>
              <w:top w:type="dxa" w:w="80"/>
              <w:left w:type="dxa" w:w="120"/>
              <w:bottom w:type="dxa" w:w="80"/>
              <w:right w:type="dxa" w:w="120"/>
            </w:tcMar>
          </w:tcPr>
          <w:p>
            <w:pPr>
              <w:jc w:val="left"/>
            </w:pPr>
            <w:r>
              <w:rPr>
                <w:rFonts w:ascii="Arial" w:cs="Arial" w:eastAsia="Arial" w:hAnsi="Arial"/>
                <w:b w:val="false"/>
                <w:bCs w:val="false"/>
                <w:i/>
                <w:iCs/>
                <w:color w:val="1F4E79"/>
                <w:sz w:val="20"/>
                <w:szCs w:val="20"/>
              </w:rPr>
              <w:t xml:space="preserve">Team</w:t>
            </w:r>
          </w:p>
        </w:tc>
      </w:tr>
      <w:tr>
        <w:tc>
          <w:tcPr>
            <w:tcW w:type="dxa" w:w="90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center"/>
            </w:pPr>
            <w:r>
              <w:rPr>
                <w:rFonts w:ascii="Arial" w:cs="Arial" w:eastAsia="Arial" w:hAnsi="Arial"/>
                <w:b/>
                <w:bCs/>
                <w:i w:val="false"/>
                <w:iCs w:val="false"/>
                <w:color w:val="701010"/>
                <w:sz w:val="20"/>
                <w:szCs w:val="20"/>
              </w:rPr>
              <w:t xml:space="preserve">HIGH</w:t>
            </w:r>
          </w:p>
        </w:tc>
        <w:tc>
          <w:tcPr>
            <w:tcW w:type="dxa" w:w="4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Warm path to Scott Abbott</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8"/>
                <w:szCs w:val="18"/>
              </w:rPr>
              <w:t xml:space="preserve">None identified</w:t>
            </w:r>
          </w:p>
        </w:tc>
        <w:tc>
          <w:tcPr>
            <w:tcW w:type="dxa" w:w="2360"/>
            <w:tcBorders>
              <w:top w:val="single" w:color="CCCCCC" w:sz="4"/>
              <w:left w:val="single" w:color="CCCCCC" w:sz="4"/>
              <w:bottom w:val="single" w:color="CCCCCC" w:sz="4"/>
              <w:right w:val="single" w:color="CCCCCC" w:sz="4"/>
            </w:tcBorders>
            <w:shd w:fill="DEEBF7" w:val="clear"/>
            <w:tcMar>
              <w:top w:type="dxa" w:w="80"/>
              <w:left w:type="dxa" w:w="120"/>
              <w:bottom w:type="dxa" w:w="80"/>
              <w:right w:type="dxa" w:w="120"/>
            </w:tcMar>
          </w:tcPr>
          <w:p>
            <w:pPr>
              <w:jc w:val="left"/>
            </w:pPr>
            <w:r>
              <w:rPr>
                <w:rFonts w:ascii="Arial" w:cs="Arial" w:eastAsia="Arial" w:hAnsi="Arial"/>
                <w:b w:val="false"/>
                <w:bCs w:val="false"/>
                <w:i/>
                <w:iCs/>
                <w:color w:val="1F4E79"/>
                <w:sz w:val="20"/>
                <w:szCs w:val="20"/>
              </w:rPr>
              <w:t xml:space="preserve">Team</w:t>
            </w:r>
          </w:p>
        </w:tc>
      </w:tr>
      <w:tr>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MED</w:t>
            </w:r>
          </w:p>
        </w:tc>
        <w:tc>
          <w:tcPr>
            <w:tcW w:type="dxa" w:w="4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Tech count validation</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8"/>
                <w:szCs w:val="18"/>
              </w:rPr>
              <w:t xml:space="preserve">2,350</w:t>
            </w:r>
          </w:p>
        </w:tc>
        <w:tc>
          <w:tcPr>
            <w:tcW w:type="dxa" w:w="2360"/>
            <w:tcBorders>
              <w:top w:val="single" w:color="CCCCCC" w:sz="4"/>
              <w:left w:val="single" w:color="CCCCCC" w:sz="4"/>
              <w:bottom w:val="single" w:color="CCCCCC" w:sz="4"/>
              <w:right w:val="single" w:color="CCCCCC" w:sz="4"/>
            </w:tcBorders>
            <w:shd w:fill="DEEBF7" w:val="clear"/>
            <w:tcMar>
              <w:top w:type="dxa" w:w="80"/>
              <w:left w:type="dxa" w:w="120"/>
              <w:bottom w:type="dxa" w:w="80"/>
              <w:right w:type="dxa" w:w="120"/>
            </w:tcMar>
          </w:tcPr>
          <w:p>
            <w:pPr>
              <w:jc w:val="left"/>
            </w:pPr>
            <w:r>
              <w:rPr>
                <w:rFonts w:ascii="Arial" w:cs="Arial" w:eastAsia="Arial" w:hAnsi="Arial"/>
                <w:b w:val="false"/>
                <w:bCs w:val="false"/>
                <w:i/>
                <w:iCs/>
                <w:color w:val="1F4E79"/>
                <w:sz w:val="20"/>
                <w:szCs w:val="20"/>
              </w:rPr>
              <w:t xml:space="preserve">Team</w:t>
            </w:r>
          </w:p>
        </w:tc>
      </w:tr>
      <w:tr>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MED</w:t>
            </w:r>
          </w:p>
        </w:tc>
        <w:tc>
          <w:tcPr>
            <w:tcW w:type="dxa" w:w="4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Fleet mandate check across all 7 brands</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8"/>
                <w:szCs w:val="18"/>
              </w:rPr>
              <w:t xml:space="preserve">None found in public</w:t>
            </w:r>
          </w:p>
        </w:tc>
        <w:tc>
          <w:tcPr>
            <w:tcW w:type="dxa" w:w="2360"/>
            <w:tcBorders>
              <w:top w:val="single" w:color="CCCCCC" w:sz="4"/>
              <w:left w:val="single" w:color="CCCCCC" w:sz="4"/>
              <w:bottom w:val="single" w:color="CCCCCC" w:sz="4"/>
              <w:right w:val="single" w:color="CCCCCC" w:sz="4"/>
            </w:tcBorders>
            <w:shd w:fill="DEEBF7" w:val="clear"/>
            <w:tcMar>
              <w:top w:type="dxa" w:w="80"/>
              <w:left w:type="dxa" w:w="120"/>
              <w:bottom w:type="dxa" w:w="80"/>
              <w:right w:type="dxa" w:w="120"/>
            </w:tcMar>
          </w:tcPr>
          <w:p>
            <w:pPr>
              <w:jc w:val="left"/>
            </w:pPr>
            <w:r>
              <w:rPr>
                <w:rFonts w:ascii="Arial" w:cs="Arial" w:eastAsia="Arial" w:hAnsi="Arial"/>
                <w:b w:val="false"/>
                <w:bCs w:val="false"/>
                <w:i/>
                <w:iCs/>
                <w:color w:val="1F4E79"/>
                <w:sz w:val="20"/>
                <w:szCs w:val="20"/>
              </w:rPr>
              <w:t xml:space="preserve">Team</w:t>
            </w:r>
          </w:p>
        </w:tc>
      </w:tr>
    </w:tbl>
    <w:p>
      <w:pPr>
        <w:pBdr>
          <w:bottom w:val="single" w:color="185FA5" w:sz="6" w:space="1"/>
        </w:pBdr>
        <w:spacing w:after="120" w:before="120"/>
      </w:pPr>
    </w:p>
    <w:p>
      <w:r>
        <w:br w:type="page"/>
      </w:r>
    </w:p>
    <w:p>
      <w:pPr>
        <w:pStyle w:val="Heading1"/>
        <w:spacing w:after="180" w:before="360"/>
      </w:pPr>
      <w:r>
        <w:rPr>
          <w:rFonts w:ascii="Arial" w:cs="Arial" w:eastAsia="Arial" w:hAnsi="Arial"/>
          <w:b/>
          <w:bCs/>
          <w:color w:val="1A2B3C"/>
          <w:sz w:val="32"/>
          <w:szCs w:val="32"/>
        </w:rPr>
        <w:t xml:space="preserve">📊 Engagement scorecard — what we're learning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section exists</w:t>
            </w:r>
          </w:p>
          <w:p>
            <w:r>
              <w:rPr>
                <w:rFonts w:ascii="Arial" w:cs="Arial" w:eastAsia="Arial" w:hAnsi="Arial"/>
                <w:sz w:val="22"/>
                <w:szCs w:val="22"/>
              </w:rPr>
              <w:t xml:space="preserve">This is where we capture what actually happens when we engage Five Star Franchising. Every call, every LinkedIn touch, every signal — short note, what landed, what didn't, and what we change as a result. We test our assumptions on the live target, then update the rest of this package based on what we find. The package gets smarter as we go.</w:t>
            </w:r>
          </w:p>
        </w:tc>
      </w:tr>
    </w:tbl>
    <w:p>
      <w:pPr>
        <w:pStyle w:val="Heading2"/>
        <w:spacing w:after="140" w:before="280"/>
      </w:pPr>
      <w:r>
        <w:rPr>
          <w:rFonts w:ascii="Arial" w:cs="Arial" w:eastAsia="Arial" w:hAnsi="Arial"/>
          <w:b/>
          <w:bCs/>
          <w:color w:val="185FA5"/>
          <w:sz w:val="26"/>
          <w:szCs w:val="26"/>
        </w:rPr>
        <w:t xml:space="preserve">Engagement log</w:t>
      </w:r>
    </w:p>
    <w:p>
      <w:pPr>
        <w:spacing w:after="80" w:before="80"/>
      </w:pPr>
      <w:r>
        <w:rPr>
          <w:rFonts w:ascii="Arial" w:cs="Arial" w:eastAsia="Arial" w:hAnsi="Arial"/>
          <w:sz w:val="22"/>
          <w:szCs w:val="22"/>
        </w:rPr>
        <w:t xml:space="preserve">One row per meaningful interaction. Keep entries short — 30 seconds to add after a call.</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1700"/>
        <w:gridCol w:w="2400"/>
        <w:gridCol w:w="1200"/>
        <w:gridCol w:w="2880"/>
      </w:tblGrid>
      <w:tr>
        <w:trPr>
          <w:tblHeader/>
        </w:trPr>
        <w:tc>
          <w:tcPr>
            <w:tcW w:type="dxa" w:w="11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Date</w:t>
            </w:r>
          </w:p>
        </w:tc>
        <w:tc>
          <w:tcPr>
            <w:tcW w:type="dxa" w:w="15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17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Who</w:t>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we tried</w:t>
            </w:r>
          </w:p>
        </w:tc>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Signal</w:t>
            </w:r>
          </w:p>
        </w:tc>
        <w:tc>
          <w:tcPr>
            <w:tcW w:type="dxa" w:w="28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we learned / next move</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Signal column shorthand: 🟢 strong (warm response, follow-up appetite) · 🟡 mixed (polite but no pull) · 🔴 cold (no response or pushback) · ⚪ pending (waiting on response).</w:t>
      </w:r>
    </w:p>
    <w:p>
      <w:pPr>
        <w:pStyle w:val="Heading2"/>
        <w:spacing w:after="140" w:before="280"/>
      </w:pPr>
      <w:r>
        <w:rPr>
          <w:rFonts w:ascii="Arial" w:cs="Arial" w:eastAsia="Arial" w:hAnsi="Arial"/>
          <w:b/>
          <w:bCs/>
          <w:color w:val="185FA5"/>
          <w:sz w:val="26"/>
          <w:szCs w:val="26"/>
        </w:rPr>
        <w:t xml:space="preserve">What's landing — what's not</w:t>
      </w:r>
    </w:p>
    <w:p>
      <w:pPr>
        <w:spacing w:after="80" w:before="80"/>
      </w:pPr>
      <w:r>
        <w:rPr>
          <w:rFonts w:ascii="Arial" w:cs="Arial" w:eastAsia="Arial" w:hAnsi="Arial"/>
          <w:sz w:val="22"/>
          <w:szCs w:val="22"/>
        </w:rPr>
        <w:t xml:space="preserve">Track which assumptions hold up in the field and which need to be revised. We update the rest of this package based on what we find here.</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4400"/>
        <w:gridCol w:w="4400"/>
        <w:gridCol w:w="1980"/>
      </w:tblGrid>
      <w:tr>
        <w:trPr>
          <w:tblHeader/>
        </w:trPr>
        <w:tc>
          <w:tcPr>
            <w:tcW w:type="dxa" w:w="4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Hypothesis we tested</w:t>
            </w:r>
          </w:p>
        </w:tc>
        <w:tc>
          <w:tcPr>
            <w:tcW w:type="dxa" w:w="4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How it actually played</w:t>
            </w:r>
          </w:p>
        </w:tc>
        <w:tc>
          <w:tcPr>
            <w:tcW w:type="dxa" w:w="19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Status</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Mosquito Shield (400+ territories) is the GPSI bundle sweet spot</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Scott Abbott single decision authority means similar fast cycle to ResiBrands</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ProNexis call center + ServiceBridge backend story works</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Princeton Equity warm path activation is realistic</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Status shorthand: ✓ confirmed · ✗ disproven · ↻ revising · — pending evidence.</w:t>
      </w:r>
    </w:p>
    <w:p>
      <w:pPr>
        <w:pStyle w:val="Heading2"/>
        <w:spacing w:after="140" w:before="280"/>
      </w:pPr>
      <w:r>
        <w:rPr>
          <w:rFonts w:ascii="Arial" w:cs="Arial" w:eastAsia="Arial" w:hAnsi="Arial"/>
          <w:b/>
          <w:bCs/>
          <w:color w:val="185FA5"/>
          <w:sz w:val="26"/>
          <w:szCs w:val="26"/>
        </w:rPr>
        <w:t xml:space="preserve">Package updates triggered by learnings</w:t>
      </w:r>
    </w:p>
    <w:p>
      <w:pPr>
        <w:spacing w:after="80" w:before="80"/>
      </w:pPr>
      <w:r>
        <w:rPr>
          <w:rFonts w:ascii="Arial" w:cs="Arial" w:eastAsia="Arial" w:hAnsi="Arial"/>
          <w:sz w:val="22"/>
          <w:szCs w:val="22"/>
        </w:rPr>
        <w:t xml:space="preserve">When a learning changes our approach, we update the relevant section of this package and note it here. Keeps the package live.</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6580"/>
      </w:tblGrid>
      <w:tr>
        <w:trPr>
          <w:tblHeader/>
        </w:trPr>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Date</w:t>
            </w:r>
          </w:p>
        </w:tc>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Section updated</w:t>
            </w:r>
          </w:p>
        </w:tc>
        <w:tc>
          <w:tcPr>
            <w:tcW w:type="dxa" w:w="65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changed</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How I plan to use this</w:t>
            </w:r>
          </w:p>
          <w:p>
            <w:r>
              <w:rPr>
                <w:rFonts w:ascii="Arial" w:cs="Arial" w:eastAsia="Arial" w:hAnsi="Arial"/>
                <w:sz w:val="22"/>
                <w:szCs w:val="22"/>
              </w:rPr>
              <w:t xml:space="preserve">My read is the readiness package isn't finished when we send it — it's a starting point. After every meaningful interaction with Five Star Franchising, I'll capture what we learned here. Before we move to the next P1, we'll review what worked and what didn't, and bring those lessons forward. The team's tribal knowledge fills in the gaps that research couldn't.</w:t>
            </w:r>
          </w:p>
        </w:tc>
      </w:tr>
    </w:tbl>
    <w:p>
      <w:pPr>
        <w:spacing w:after="80" w:before="200"/>
        <w:jc w:val="center"/>
      </w:pPr>
      <w:r>
        <w:rPr>
          <w:rFonts w:ascii="Arial" w:cs="Arial" w:eastAsia="Arial" w:hAnsi="Arial"/>
          <w:i/>
          <w:iCs/>
          <w:color w:val="888780"/>
          <w:sz w:val="18"/>
          <w:szCs w:val="18"/>
        </w:rPr>
        <w:t xml:space="preserve">— End of document —</w:t>
      </w:r>
    </w:p>
    <w:p>
      <w:pPr>
        <w:spacing w:after="40" w:before="40"/>
        <w:jc w:val="center"/>
      </w:pPr>
      <w:r>
        <w:rPr>
          <w:rFonts w:ascii="Arial" w:cs="Arial" w:eastAsia="Arial" w:hAnsi="Arial"/>
          <w:i/>
          <w:iCs/>
          <w:color w:val="888780"/>
          <w:sz w:val="16"/>
          <w:szCs w:val="16"/>
        </w:rPr>
        <w:t xml:space="preserve">Velocity GTM Co LLC  ·  Five Star Franchising GTM Engagement Readiness  ·  April 24,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780"/>
        <w:sz w:val="16"/>
        <w:szCs w:val="16"/>
      </w:rPr>
      <w:t xml:space="preserve">Velocity GTM Co LLC  ·  April 24, 2026  ·  Page </w:t>
    </w:r>
    <w:r>
      <w:rPr>
        <w:rFonts w:ascii="Arial" w:cs="Arial" w:eastAsia="Arial" w:hAnsi="Arial"/>
        <w:color w:val="8887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780"/>
        <w:sz w:val="16"/>
        <w:szCs w:val="16"/>
      </w:rPr>
      <w:t xml:space="preserve">FIVE STAR FRANCHISING · GTM ENGAGEMENT READINESS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A2B3C"/>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85FA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Five Star Franchising — GTM Engagement Readiness</dc:title>
  <dc:creator>Velocity GTM Co LLC</dc:creator>
  <cp:lastModifiedBy>Un-named</cp:lastModifiedBy>
  <cp:revision>1</cp:revision>
  <dcterms:created xsi:type="dcterms:W3CDTF">2026-04-27T19:00:08.097Z</dcterms:created>
  <dcterms:modified xsi:type="dcterms:W3CDTF">2026-04-27T19:00:08.097Z</dcterms:modified>
</cp:coreProperties>
</file>

<file path=docProps/custom.xml><?xml version="1.0" encoding="utf-8"?>
<Properties xmlns="http://schemas.openxmlformats.org/officeDocument/2006/custom-properties" xmlns:vt="http://schemas.openxmlformats.org/officeDocument/2006/docPropsVTypes"/>
</file>