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A2B3C"/>
          <w:sz w:val="44"/>
          <w:szCs w:val="44"/>
        </w:rPr>
        <w:t xml:space="preserve">HOMEFRONT BRANDS</w:t>
      </w:r>
    </w:p>
    <w:p>
      <w:pPr>
        <w:spacing w:after="60" w:before="0"/>
        <w:jc w:val="center"/>
      </w:pPr>
      <w:r>
        <w:rPr>
          <w:rFonts w:ascii="Arial" w:cs="Arial" w:eastAsia="Arial" w:hAnsi="Arial"/>
          <w:b/>
          <w:bCs/>
          <w:color w:val="185FA5"/>
          <w:sz w:val="28"/>
          <w:szCs w:val="28"/>
        </w:rPr>
        <w:t xml:space="preserve">GTM Engagement Readiness</w:t>
      </w:r>
    </w:p>
    <w:p>
      <w:pPr>
        <w:spacing w:after="60" w:before="0"/>
        <w:jc w:val="center"/>
      </w:pPr>
      <w:r>
        <w:rPr>
          <w:rFonts w:ascii="Arial" w:cs="Arial" w:eastAsia="Arial" w:hAnsi="Arial"/>
          <w:b/>
          <w:bCs/>
          <w:color w:val="A32D2D"/>
          <w:sz w:val="22"/>
          <w:szCs w:val="22"/>
        </w:rPr>
        <w:t xml:space="preserve">Rank #7 · MONITOR-MODE · Score 44.0</w:t>
      </w:r>
    </w:p>
    <w:p>
      <w:pPr>
        <w:spacing w:after="240" w:before="0"/>
        <w:jc w:val="center"/>
      </w:pPr>
      <w:r>
        <w:rPr>
          <w:rFonts w:ascii="Arial" w:cs="Arial" w:eastAsia="Arial" w:hAnsi="Arial"/>
          <w:i/>
          <w:iCs/>
          <w:color w:val="888780"/>
          <w:sz w:val="20"/>
          <w:szCs w:val="20"/>
        </w:rPr>
        <w:t xml:space="preserve">Franchisee turmoil signals · family office ownership · monitor Q3/Q4 2026</w:t>
      </w:r>
    </w:p>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My read on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CEBEB"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Why HomeFront Brands sits at rank #7</w:t>
            </w:r>
          </w:p>
          <w:p>
            <w:r>
              <w:rPr>
                <w:rFonts w:ascii="Arial" w:cs="Arial" w:eastAsia="Arial" w:hAnsi="Arial"/>
                <w:sz w:val="22"/>
                <w:szCs w:val="22"/>
              </w:rPr>
              <w:t xml:space="preserve">HomeFront Brands came in at #7 with a score of 48.5, the lowest in our P1 set. Jeff Dudan (Founder/CEO) and Zack Dudan (COO) run this through Dudan Group as a family office, which gives us different exit dynamics than the PE-backed targets. FSM is franchisee-choice with limited franchisor tooling. Unhappy Franchisee forum posts in December 2025 are signaling franchisee turmoil. My honest read is monitor-only for now. We keep HomeFront on the P1 list for visibility but don't actively sequence until we see Q3/Q4 2026 signals.</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Where I'd land it</w:t>
      </w:r>
    </w:p>
    <w:p>
      <w:pPr>
        <w:pStyle w:val="ListParagraph"/>
        <w:numPr>
          <w:ilvl w:val="0"/>
          <w:numId w:val="2"/>
        </w:numPr>
        <w:spacing w:after="40" w:before="40"/>
      </w:pPr>
      <w:r>
        <w:rPr>
          <w:rFonts w:ascii="Arial" w:cs="Arial" w:eastAsia="Arial" w:hAnsi="Arial"/>
          <w:sz w:val="22"/>
          <w:szCs w:val="22"/>
        </w:rPr>
        <w:t xml:space="preserve">Lowest P1 score across all dimensions we measured.</w:t>
      </w:r>
    </w:p>
    <w:p>
      <w:pPr>
        <w:pStyle w:val="ListParagraph"/>
        <w:numPr>
          <w:ilvl w:val="0"/>
          <w:numId w:val="2"/>
        </w:numPr>
        <w:spacing w:after="40" w:before="40"/>
      </w:pPr>
      <w:r>
        <w:rPr>
          <w:rFonts w:ascii="Arial" w:cs="Arial" w:eastAsia="Arial" w:hAnsi="Arial"/>
          <w:sz w:val="22"/>
          <w:szCs w:val="22"/>
        </w:rPr>
        <w:t xml:space="preserve">Family office ownership means no PE exit pressure to harness in the value creation pitch.</w:t>
      </w:r>
    </w:p>
    <w:p>
      <w:pPr>
        <w:pStyle w:val="ListParagraph"/>
        <w:numPr>
          <w:ilvl w:val="0"/>
          <w:numId w:val="2"/>
        </w:numPr>
        <w:spacing w:after="40" w:before="40"/>
      </w:pPr>
      <w:r>
        <w:rPr>
          <w:rFonts w:ascii="Arial" w:cs="Arial" w:eastAsia="Arial" w:hAnsi="Arial"/>
          <w:sz w:val="22"/>
          <w:szCs w:val="22"/>
        </w:rPr>
        <w:t xml:space="preserve">Franchisee turmoil signals from the Unhappy Franchisee forum in December 2025 are an instability flag.</w:t>
      </w:r>
    </w:p>
    <w:p>
      <w:pPr>
        <w:pStyle w:val="ListParagraph"/>
        <w:numPr>
          <w:ilvl w:val="0"/>
          <w:numId w:val="2"/>
        </w:numPr>
        <w:spacing w:after="40" w:before="40"/>
      </w:pPr>
      <w:r>
        <w:rPr>
          <w:rFonts w:ascii="Arial" w:cs="Arial" w:eastAsia="Arial" w:hAnsi="Arial"/>
          <w:sz w:val="22"/>
          <w:szCs w:val="22"/>
        </w:rPr>
        <w:t xml:space="preserve">Limited franchisor tooling means no aggregation leverage for ServiceBridge here.</w:t>
      </w:r>
    </w:p>
    <w:p>
      <w:pPr>
        <w:pStyle w:val="ListParagraph"/>
        <w:numPr>
          <w:ilvl w:val="0"/>
          <w:numId w:val="2"/>
        </w:numPr>
        <w:spacing w:after="40" w:before="40"/>
      </w:pPr>
      <w:r>
        <w:rPr>
          <w:rFonts w:ascii="Arial" w:cs="Arial" w:eastAsia="Arial" w:hAnsi="Arial"/>
          <w:sz w:val="22"/>
          <w:szCs w:val="22"/>
        </w:rPr>
        <w:t xml:space="preserve">My recommendation: monitor for Q3/Q4 2026 clarity. Don't actively engage in the current quarter.</w:t>
      </w:r>
    </w:p>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 What we know — with sources</w:t>
      </w:r>
    </w:p>
    <w:p>
      <w:pPr>
        <w:spacing w:after="80" w:before="80"/>
      </w:pPr>
      <w:r>
        <w:rPr>
          <w:rFonts w:ascii="Arial" w:cs="Arial" w:eastAsia="Arial" w:hAnsi="Arial"/>
          <w:sz w:val="22"/>
          <w:szCs w:val="22"/>
        </w:rPr>
        <w:t xml:space="preserve">Core data points with confidence level, source, and verification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400"/>
        <w:gridCol w:w="2000"/>
        <w:gridCol w:w="960"/>
      </w:tblGrid>
      <w:tr>
        <w:trPr>
          <w:tblHeader/>
        </w:trPr>
        <w:tc>
          <w:tcPr>
            <w:tcW w:type="dxa" w:w="26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Data Point</w:t>
            </w:r>
          </w:p>
        </w:tc>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Value</w:t>
            </w:r>
          </w:p>
        </w:tc>
        <w:tc>
          <w:tcPr>
            <w:tcW w:type="dxa" w:w="1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Confidence</w:t>
            </w:r>
          </w:p>
        </w:tc>
        <w:tc>
          <w:tcPr>
            <w:tcW w:type="dxa" w:w="20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Source</w:t>
            </w:r>
          </w:p>
        </w:tc>
        <w:tc>
          <w:tcPr>
            <w:tcW w:type="dxa" w:w="9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Verified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Total brands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6</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HomeFront website</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Tech count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~2,550 mid-point (range 1,900-3,300)</w:t>
            </w:r>
          </w:p>
        </w:tc>
        <w:tc>
          <w:tcPr>
            <w:tcW w:type="dxa" w:w="14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pPr>
              <w:jc w:val="center"/>
            </w:pPr>
            <w:r>
              <w:rPr>
                <w:rFonts w:ascii="Arial" w:cs="Arial" w:eastAsia="Arial" w:hAnsi="Arial"/>
                <w:b/>
                <w:bCs/>
                <w:i w:val="false"/>
                <w:iCs w:val="false"/>
                <w:color w:val="0F4C5C"/>
                <w:sz w:val="18"/>
                <w:szCs w:val="18"/>
              </w:rPr>
              <w:t xml:space="preserve">🟡 INDUSTRY_VERIFIED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Vertical-calibrated from verified location counts × industry-typical techs/location</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25</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Portfolio FSM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Franchisee-choice</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No portfolio mandate</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Franchisor tooling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Limited</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Unhappy Franchisee Dec 2025</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Founder/CEO</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Jeff Dudan</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HomeFront corporate</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COO</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Zack Dudan</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HomeFront corporate</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Ownership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Dudan Group (family office)</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HomeFront corporate</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Franchisee turmoil signals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HIGH</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Unhappy Franchisee forum Dec 2025</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GPO Status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Yes — Vendor Advantage Program</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HomeFront Brands website, Vendor Advantage Program</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28</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Consumer/Commercial mix</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Consumer 50%</w:t>
            </w:r>
          </w:p>
        </w:tc>
        <w:tc>
          <w:tcPr>
            <w:tcW w:type="dxa" w:w="14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pPr>
              <w:jc w:val="center"/>
            </w:pPr>
            <w:r>
              <w:rPr>
                <w:rFonts w:ascii="Arial" w:cs="Arial" w:eastAsia="Arial" w:hAnsi="Arial"/>
                <w:b/>
                <w:bCs/>
                <w:i w:val="false"/>
                <w:iCs w:val="false"/>
                <w:color w:val="0F4C5C"/>
                <w:sz w:val="18"/>
                <w:szCs w:val="18"/>
              </w:rPr>
              <w:t xml:space="preserve">🟡 INDUSTRY_VERIFIED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Brand portfolio analysis — Temporary Wall Systems is B2B, others mixed</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28</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Existing Telematics Solution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TBD — GPSI sales team to validate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555555"/>
                <w:sz w:val="18"/>
                <w:szCs w:val="18"/>
              </w:rPr>
              <w:t xml:space="preserve">⚪ ESTIMATED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GPS Insight customer database — pending sales team review</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28</w:t>
            </w:r>
          </w:p>
        </w:tc>
      </w:tr>
    </w:tbl>
    <w:p>
      <w:pPr>
        <w:pBdr>
          <w:bottom w:val="single" w:color="185FA5" w:sz="6" w:space="1"/>
        </w:pBdr>
        <w:spacing w:after="120" w:before="120"/>
      </w:pPr>
    </w:p>
    <w:p>
      <w:pPr>
        <w:pStyle w:val="Heading2"/>
        <w:spacing w:after="140" w:before="280"/>
      </w:pPr>
      <w:r>
        <w:rPr>
          <w:rFonts w:ascii="Arial" w:cs="Arial" w:eastAsia="Arial" w:hAnsi="Arial"/>
          <w:b/>
          <w:bCs/>
          <w:color w:val="185FA5"/>
          <w:sz w:val="26"/>
          <w:szCs w:val="26"/>
        </w:rPr>
        <w:t xml:space="preserve">How we got to this tech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Honest framing: this is a vertical-calibrated mid-point estimate, not verified headcount</w:t>
            </w:r>
          </w:p>
          <w:p>
            <w:r>
              <w:rPr>
                <w:rFonts w:ascii="Arial" w:cs="Arial" w:eastAsia="Arial" w:hAnsi="Arial"/>
                <w:sz w:val="22"/>
                <w:szCs w:val="22"/>
              </w:rPr>
              <w:t xml:space="preserve">HomeFront has Mosquito Authority, plus several smaller brands. Pest-vertical mid-range tech counts. Note: HomeFront is on Monitor posture — these numbers are less actively used. FDDs do not typically disclose techs-per-franchisee — Item 20 lists locations, Item 19 lists financials, but average headcount is not a standard disclosure. So our 2,550 mid-point for HomeFront Brands is anchored on what's reasonable given the brand mix, but the actual number could land anywhere in the range below. Marketing teammates likely have direct headcount data through operator surveys, regional meeting reports, or franchisee scorecards that would tighten this from ESTIMATED to VERIFIED.</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Range and corresponding Year 1 ARR @ 10%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80"/>
        <w:gridCol w:w="2380"/>
      </w:tblGrid>
      <w:tr>
        <w:trPr>
          <w:tblHeader/>
        </w:trPr>
        <w:tc>
          <w:tcPr>
            <w:tcW w:type="dxa" w:w="23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Scenario</w:t>
            </w:r>
          </w:p>
        </w:tc>
        <w:tc>
          <w:tcPr>
            <w:tcW w:type="dxa" w:w="23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Tech count</w:t>
            </w:r>
          </w:p>
        </w:tc>
        <w:tc>
          <w:tcPr>
            <w:tcW w:type="dxa" w:w="23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Y1 ARR @ 10%</w:t>
            </w:r>
          </w:p>
        </w:tc>
        <w:tc>
          <w:tcPr>
            <w:tcW w:type="dxa" w:w="23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Y1 ARR @ 25%</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7"/>
                <w:szCs w:val="17"/>
              </w:rPr>
              <w:t xml:space="preserve">Low (conservative)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8"/>
                <w:szCs w:val="18"/>
              </w:rPr>
              <w:t xml:space="preserve">1,900</w:t>
            </w:r>
          </w:p>
        </w:tc>
        <w:tc>
          <w:tcPr>
            <w:tcW w:type="dxa" w:w="23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8"/>
                <w:szCs w:val="18"/>
              </w:rPr>
              <w:t xml:space="preserve">$56,886</w:t>
            </w:r>
          </w:p>
        </w:tc>
        <w:tc>
          <w:tcPr>
            <w:tcW w:type="dxa" w:w="23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8"/>
                <w:szCs w:val="18"/>
              </w:rPr>
              <w:t xml:space="preserve">$142,215</w:t>
            </w:r>
          </w:p>
        </w:tc>
      </w:tr>
      <w:tr>
        <w:tc>
          <w:tcPr>
            <w:tcW w:type="dxa" w:w="23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left"/>
            </w:pPr>
            <w:r>
              <w:rPr>
                <w:rFonts w:ascii="Arial" w:cs="Arial" w:eastAsia="Arial" w:hAnsi="Arial"/>
                <w:b/>
                <w:bCs/>
                <w:i w:val="false"/>
                <w:iCs w:val="false"/>
                <w:color w:val="27500A"/>
                <w:sz w:val="18"/>
                <w:szCs w:val="18"/>
              </w:rPr>
              <w:t xml:space="preserve">Mid (our headline)</w:t>
            </w:r>
          </w:p>
        </w:tc>
        <w:tc>
          <w:tcPr>
            <w:tcW w:type="dxa" w:w="23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0"/>
                <w:szCs w:val="20"/>
              </w:rPr>
              <w:t xml:space="preserve">2,550</w:t>
            </w:r>
          </w:p>
        </w:tc>
        <w:tc>
          <w:tcPr>
            <w:tcW w:type="dxa" w:w="238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0"/>
                <w:szCs w:val="20"/>
              </w:rPr>
              <w:t xml:space="preserve">$76,347</w:t>
            </w:r>
          </w:p>
        </w:tc>
        <w:tc>
          <w:tcPr>
            <w:tcW w:type="dxa" w:w="238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0"/>
                <w:szCs w:val="20"/>
              </w:rPr>
              <w:t xml:space="preserve">$190,868</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7"/>
                <w:szCs w:val="17"/>
              </w:rPr>
              <w:t xml:space="preserve">High (stretch)</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8"/>
                <w:szCs w:val="18"/>
              </w:rPr>
              <w:t xml:space="preserve">3,300</w:t>
            </w:r>
          </w:p>
        </w:tc>
        <w:tc>
          <w:tcPr>
            <w:tcW w:type="dxa" w:w="23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8"/>
                <w:szCs w:val="18"/>
              </w:rPr>
              <w:t xml:space="preserve">$98,802</w:t>
            </w:r>
          </w:p>
        </w:tc>
        <w:tc>
          <w:tcPr>
            <w:tcW w:type="dxa" w:w="23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8"/>
                <w:szCs w:val="18"/>
              </w:rPr>
              <w:t xml:space="preserve">$247,005</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888780"/>
          <w:sz w:val="22"/>
          <w:szCs w:val="22"/>
        </w:rPr>
        <w:t xml:space="preserve">Headline numbers throughout this package run off the mid-point. The low/high band is the honest defensive context — if a CFO asks how confident we are in 2,550 techs, the answer is "vertical-calibrated mid-point; range is 1,900-3,300 depending on actual tech-per-location at the brand mix; Marketing teammates have the real headcount data to tighten this." Reads honest, not defensive.</w:t>
      </w:r>
    </w:p>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 PE exit math &amp; ROI — what we bring to the franchisor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AF3DE"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Why this matters to PE in one sentence</w:t>
            </w:r>
          </w:p>
          <w:p>
            <w:r>
              <w:rPr>
                <w:rFonts w:ascii="Arial" w:cs="Arial" w:eastAsia="Arial" w:hAnsi="Arial"/>
                <w:sz w:val="22"/>
                <w:szCs w:val="22"/>
              </w:rPr>
              <w:t xml:space="preserve">Every $1 of franchisee-level EBITDA improvement converts to $10–14 of enterprise value at PE exit. A franchisor-funded FSM platform that costs $0.25 per $1 of EBITDA added delivers 40–50x ROI on invested capital over a typical hold period.</w:t>
            </w:r>
          </w:p>
        </w:tc>
      </w:tr>
    </w:tbl>
    <w:p>
      <w:pPr>
        <w:pStyle w:val="Heading2"/>
        <w:spacing w:after="140" w:before="280"/>
      </w:pPr>
      <w:r>
        <w:rPr>
          <w:rFonts w:ascii="Arial" w:cs="Arial" w:eastAsia="Arial" w:hAnsi="Arial"/>
          <w:b/>
          <w:bCs/>
          <w:color w:val="185FA5"/>
          <w:sz w:val="26"/>
          <w:szCs w:val="26"/>
        </w:rPr>
        <w:t xml:space="preserve">The exit multiple math</w:t>
      </w:r>
    </w:p>
    <w:p>
      <w:pPr>
        <w:spacing w:after="80" w:before="80"/>
      </w:pPr>
      <w:r>
        <w:rPr>
          <w:rFonts w:ascii="Arial" w:cs="Arial" w:eastAsia="Arial" w:hAnsi="Arial"/>
          <w:sz w:val="22"/>
          <w:szCs w:val="22"/>
        </w:rPr>
        <w:t xml:space="preserve">Home services franchisor exits consistently price at tech-enabled multiples: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Exit Category</w:t>
            </w:r>
          </w:p>
        </w:tc>
        <w:tc>
          <w:tcPr>
            <w:tcW w:type="dxa" w:w="30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EBITDA Multiple Range</w:t>
            </w:r>
          </w:p>
        </w:tc>
        <w:tc>
          <w:tcPr>
            <w:tcW w:type="dxa" w:w="28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Source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Established home services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A2B3C"/>
                <w:sz w:val="22"/>
                <w:szCs w:val="22"/>
              </w:rPr>
              <w:t xml:space="preserve">8–12x EBITDA</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GF Data · PitchBook · industry benchmarks</w:t>
            </w:r>
          </w:p>
        </w:tc>
      </w:tr>
      <w:tr>
        <w:tc>
          <w:tcPr>
            <w:tcW w:type="dxa" w:w="35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Tech-enabled home services</w:t>
            </w:r>
          </w:p>
        </w:tc>
        <w:tc>
          <w:tcPr>
            <w:tcW w:type="dxa" w:w="30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2"/>
                <w:szCs w:val="22"/>
              </w:rPr>
              <w:t xml:space="preserve">10–14x EBITDA</w:t>
            </w:r>
          </w:p>
        </w:tc>
        <w:tc>
          <w:tcPr>
            <w:tcW w:type="dxa" w:w="286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left"/>
            </w:pPr>
            <w:r>
              <w:rPr>
                <w:rFonts w:ascii="Arial" w:cs="Arial" w:eastAsia="Arial" w:hAnsi="Arial"/>
                <w:b w:val="false"/>
                <w:bCs w:val="false"/>
                <w:i/>
                <w:iCs/>
                <w:color w:val="27500A"/>
                <w:sz w:val="16"/>
                <w:szCs w:val="16"/>
              </w:rPr>
              <w:t xml:space="preserve">Higher for proven tech-enabled platforms</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Value creation breakdown (PE-era)</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sz w:val="16"/>
                <w:szCs w:val="16"/>
              </w:rPr>
              <w:t xml:space="preserve">32% multiple expansion · 54% VCI</w:t>
            </w:r>
          </w:p>
        </w:tc>
        <w:tc>
          <w:tcPr>
            <w:tcW w:type="dxa" w:w="2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McKinsey / Bain PE value-creation studies</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595959"/>
          <w:sz w:val="22"/>
          <w:szCs w:val="22"/>
        </w:rPr>
        <w:t xml:space="preserve">VCI = Value Creation Initiatives. FSM platform consolidation is a textbook VCI — directly improves franchisee unit economics, which flows through to franchisor royalty economics, which is what the PE buyer is paying for.</w:t>
      </w:r>
    </w:p>
    <w:p>
      <w:pPr>
        <w:pStyle w:val="Heading2"/>
        <w:spacing w:after="140" w:before="280"/>
      </w:pPr>
      <w:r>
        <w:rPr>
          <w:rFonts w:ascii="Arial" w:cs="Arial" w:eastAsia="Arial" w:hAnsi="Arial"/>
          <w:b/>
          <w:bCs/>
          <w:color w:val="185FA5"/>
          <w:sz w:val="26"/>
          <w:szCs w:val="26"/>
        </w:rPr>
        <w:t xml:space="preserve">HomeFront Brands — franchisor-level ROI model</w:t>
      </w:r>
    </w:p>
    <w:p>
      <w:pPr>
        <w:spacing w:after="80" w:before="80"/>
      </w:pPr>
      <w:r>
        <w:rPr>
          <w:rFonts w:ascii="Arial" w:cs="Arial" w:eastAsia="Arial" w:hAnsi="Arial"/>
          <w:sz w:val="22"/>
          <w:szCs w:val="22"/>
        </w:rPr>
        <w:t xml:space="preserve">The model is straightforward — if ServiceBridge is adopted across HomeFront Brands's network, what does that do to HomeFront Brands's exit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Variable</w:t>
            </w:r>
          </w:p>
        </w:tc>
        <w:tc>
          <w:tcPr>
            <w:tcW w:type="dxa" w:w="30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Assumption</w:t>
            </w:r>
          </w:p>
        </w:tc>
        <w:tc>
          <w:tcPr>
            <w:tcW w:type="dxa" w:w="30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Math</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Franchisee EBITDA improvement from FSM</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A2B3C"/>
                <w:sz w:val="20"/>
                <w:szCs w:val="20"/>
              </w:rPr>
              <w:t xml:space="preserve">$8K/tech/year</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iCs/>
                <w:color w:val="888780"/>
                <w:sz w:val="16"/>
                <w:szCs w:val="16"/>
              </w:rPr>
              <w:t xml:space="preserve">Route efficiency · job density · billing capture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Network tech base</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A2B3C"/>
                <w:sz w:val="20"/>
                <w:szCs w:val="20"/>
              </w:rPr>
              <w:t xml:space="preserve">2,550 techs</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iCs/>
                <w:color w:val="888780"/>
                <w:sz w:val="16"/>
                <w:szCs w:val="16"/>
              </w:rPr>
              <w:t xml:space="preserve">Vertical-calibrated from FDDs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Buy-in rate assumed</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A2B3C"/>
                <w:sz w:val="20"/>
                <w:szCs w:val="20"/>
              </w:rPr>
              <w:t xml:space="preserve">10% (working baseline)</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iCs/>
                <w:color w:val="888780"/>
                <w:sz w:val="16"/>
                <w:szCs w:val="16"/>
              </w:rPr>
              <w:t xml:space="preserve">Conservative Phase 1-2 starting assumption</w:t>
            </w:r>
          </w:p>
        </w:tc>
      </w:tr>
      <w:tr>
        <w:tc>
          <w:tcPr>
            <w:tcW w:type="dxa" w:w="32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Network EBITDA improvement</w:t>
            </w:r>
          </w:p>
        </w:tc>
        <w:tc>
          <w:tcPr>
            <w:tcW w:type="dxa" w:w="308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2"/>
                <w:szCs w:val="22"/>
              </w:rPr>
              <w:t xml:space="preserve">$2.04M/yr</w:t>
            </w:r>
          </w:p>
        </w:tc>
        <w:tc>
          <w:tcPr>
            <w:tcW w:type="dxa" w:w="308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val="false"/>
                <w:bCs w:val="false"/>
                <w:i/>
                <w:iCs/>
                <w:color w:val="27500A"/>
                <w:sz w:val="16"/>
                <w:szCs w:val="16"/>
              </w:rPr>
              <w:t xml:space="preserve">2,550 × 10% × $8K</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Royalty pass-through (~6%)</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A2B3C"/>
                <w:sz w:val="20"/>
                <w:szCs w:val="20"/>
              </w:rPr>
              <w:t xml:space="preserve">$0.12M/yr</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iCs/>
                <w:color w:val="888780"/>
                <w:sz w:val="16"/>
                <w:szCs w:val="16"/>
              </w:rPr>
              <w:t xml:space="preserve">Typical franchisor royalty rate</w:t>
            </w:r>
          </w:p>
        </w:tc>
      </w:tr>
      <w:tr>
        <w:tc>
          <w:tcPr>
            <w:tcW w:type="dxa" w:w="32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Exit multiple applied (12x)</w:t>
            </w:r>
          </w:p>
        </w:tc>
        <w:tc>
          <w:tcPr>
            <w:tcW w:type="dxa" w:w="308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pPr>
              <w:jc w:val="center"/>
            </w:pPr>
            <w:r>
              <w:rPr>
                <w:rFonts w:ascii="Arial" w:cs="Arial" w:eastAsia="Arial" w:hAnsi="Arial"/>
                <w:b/>
                <w:bCs/>
                <w:i w:val="false"/>
                <w:iCs w:val="false"/>
                <w:color w:val="633806"/>
                <w:sz w:val="22"/>
                <w:szCs w:val="22"/>
              </w:rPr>
              <w:t xml:space="preserve">$1.47M</w:t>
            </w:r>
          </w:p>
        </w:tc>
        <w:tc>
          <w:tcPr>
            <w:tcW w:type="dxa" w:w="308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pPr>
              <w:jc w:val="center"/>
            </w:pPr>
            <w:r>
              <w:rPr>
                <w:rFonts w:ascii="Arial" w:cs="Arial" w:eastAsia="Arial" w:hAnsi="Arial"/>
                <w:b w:val="false"/>
                <w:bCs w:val="false"/>
                <w:i/>
                <w:iCs/>
                <w:color w:val="633806"/>
                <w:sz w:val="16"/>
                <w:szCs w:val="16"/>
              </w:rPr>
              <w:t xml:space="preserve">Franchisor-level exit value add</w:t>
            </w:r>
          </w:p>
        </w:tc>
      </w:tr>
      <w:tr>
        <w:tc>
          <w:tcPr>
            <w:tcW w:type="dxa" w:w="32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Direct franchisee-level exit (10x)</w:t>
            </w:r>
          </w:p>
        </w:tc>
        <w:tc>
          <w:tcPr>
            <w:tcW w:type="dxa" w:w="308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i w:val="false"/>
                <w:iCs w:val="false"/>
                <w:color w:val="FFFFFF"/>
                <w:sz w:val="22"/>
                <w:szCs w:val="22"/>
              </w:rPr>
              <w:t xml:space="preserve">$20.4M</w:t>
            </w:r>
          </w:p>
        </w:tc>
        <w:tc>
          <w:tcPr>
            <w:tcW w:type="dxa" w:w="308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val="false"/>
                <w:bCs w:val="false"/>
                <w:i/>
                <w:iCs/>
                <w:color w:val="FFFFFF"/>
                <w:sz w:val="16"/>
                <w:szCs w:val="16"/>
              </w:rPr>
              <w:t xml:space="preserve">Franchisee network enterprise value lift</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What ServiceBridge asks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Year</w:t>
            </w:r>
          </w:p>
        </w:tc>
        <w:tc>
          <w:tcPr>
            <w:tcW w:type="dxa" w:w="30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Investment @ 10% buy-in (baseline)</w:t>
            </w:r>
          </w:p>
        </w:tc>
        <w:tc>
          <w:tcPr>
            <w:tcW w:type="dxa" w:w="30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Cumulative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Year 1</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$76,347</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$76,347</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Year 2</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$76,347</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$152,694</w:t>
            </w:r>
          </w:p>
        </w:tc>
      </w:tr>
      <w:tr>
        <w:tc>
          <w:tcPr>
            <w:tcW w:type="dxa" w:w="32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Year 3</w:t>
            </w:r>
          </w:p>
        </w:tc>
        <w:tc>
          <w:tcPr>
            <w:tcW w:type="dxa" w:w="308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$76,347</w:t>
            </w:r>
          </w:p>
        </w:tc>
        <w:tc>
          <w:tcPr>
            <w:tcW w:type="dxa" w:w="308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2"/>
                <w:szCs w:val="22"/>
              </w:rPr>
              <w:t xml:space="preserve">$229,041</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888780"/>
          <w:sz w:val="22"/>
          <w:szCs w:val="22"/>
        </w:rPr>
        <w:t xml:space="preserve">Stretch case for context: at 25% buy-in, Year 1 ARR jumps to $190,868 and 3-year cumulative reaches $572,604. We don't lead with this — 10% is our working baseline. 25% is what the math becomes if early wins compound.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F4"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The ratio that lands this with PE</w:t>
            </w:r>
          </w:p>
          <w:p>
            <w:r>
              <w:rPr>
                <w:rFonts w:ascii="Arial" w:cs="Arial" w:eastAsia="Arial" w:hAnsi="Arial"/>
                <w:sz w:val="22"/>
                <w:szCs w:val="22"/>
              </w:rPr>
              <w:t xml:space="preserve">At 10% buy-in for HomeFront Brands — our conservative working baseline — franchisee-level exit value creation is ~$20M (10% penetration × $8K/tech EBITDA × 10x multiple). 3-year cumulative ServiceBridge investment is ~$229.04K at 10% buy-in. The ratio of value created to platform cost is roughly 89x. This is the arithmetic that franchisor CFOs and PE operating partners use to evaluate platform initiatives — and 10% is intentionally the floor we set the conversation at, not the ceiling.</w:t>
            </w:r>
          </w:p>
        </w:tc>
      </w:tr>
    </w:tbl>
    <w:p>
      <w:pPr>
        <w:spacing w:after="100" w:before="200"/>
      </w:pPr>
      <w:r>
        <w:rPr>
          <w:rFonts w:ascii="Arial" w:cs="Arial" w:eastAsia="Arial" w:hAnsi="Arial"/>
          <w:b/>
          <w:bCs/>
          <w:color w:val="1A2B3C"/>
          <w:sz w:val="22"/>
          <w:szCs w:val="22"/>
        </w:rPr>
        <w:t xml:space="preserve">How the math shifts with adoption</w:t>
      </w:r>
    </w:p>
    <w:p>
      <w:pPr>
        <w:spacing w:after="80" w:before="80"/>
      </w:pPr>
      <w:r>
        <w:rPr>
          <w:rFonts w:ascii="Arial" w:cs="Arial" w:eastAsia="Arial" w:hAnsi="Arial"/>
          <w:sz w:val="22"/>
          <w:szCs w:val="22"/>
        </w:rPr>
        <w:t xml:space="preserve">At different network penetration rates, the franchisee-level exit value created by a HomeFront Brands ServiceBridge rollout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Buy-in rate</w:t>
            </w:r>
          </w:p>
        </w:tc>
        <w:tc>
          <w:tcPr>
            <w:tcW w:type="dxa" w:w="234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Techs adopting</w:t>
            </w:r>
          </w:p>
        </w:tc>
        <w:tc>
          <w:tcPr>
            <w:tcW w:type="dxa" w:w="234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Network EBITDA lift</w:t>
            </w:r>
          </w:p>
        </w:tc>
        <w:tc>
          <w:tcPr>
            <w:tcW w:type="dxa" w:w="234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Franchisee exit value (10x)</w:t>
            </w:r>
          </w:p>
        </w:tc>
      </w:tr>
      <w:tr>
        <w:tc>
          <w:tcPr>
            <w:tcW w:type="dxa" w:w="234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0"/>
                <w:szCs w:val="20"/>
              </w:rPr>
              <w:t xml:space="preserve">10% (working baseline)</w:t>
            </w:r>
          </w:p>
        </w:tc>
        <w:tc>
          <w:tcPr>
            <w:tcW w:type="dxa" w:w="234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255</w:t>
            </w:r>
          </w:p>
        </w:tc>
        <w:tc>
          <w:tcPr>
            <w:tcW w:type="dxa" w:w="234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$2.0M</w:t>
            </w:r>
          </w:p>
        </w:tc>
        <w:tc>
          <w:tcPr>
            <w:tcW w:type="dxa" w:w="234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2"/>
                <w:szCs w:val="22"/>
              </w:rPr>
              <w:t xml:space="preserve">$20M</w:t>
            </w:r>
          </w:p>
        </w:tc>
      </w:tr>
      <w:tr>
        <w:tc>
          <w:tcPr>
            <w:tcW w:type="dxa" w:w="234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0"/>
                <w:szCs w:val="20"/>
              </w:rPr>
              <w:t xml:space="preserve">25% (stretch case)</w:t>
            </w:r>
          </w:p>
        </w:tc>
        <w:tc>
          <w:tcPr>
            <w:tcW w:type="dxa" w:w="234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638</w:t>
            </w:r>
          </w:p>
        </w:tc>
        <w:tc>
          <w:tcPr>
            <w:tcW w:type="dxa" w:w="234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$5.1M</w:t>
            </w:r>
          </w:p>
        </w:tc>
        <w:tc>
          <w:tcPr>
            <w:tcW w:type="dxa" w:w="234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2"/>
                <w:szCs w:val="22"/>
              </w:rPr>
              <w:t xml:space="preserve">$51M</w:t>
            </w:r>
          </w:p>
        </w:tc>
      </w:tr>
    </w:tbl>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 How we engage</w:t>
      </w:r>
    </w:p>
    <w:p>
      <w:pPr>
        <w:pStyle w:val="Heading2"/>
        <w:spacing w:after="140" w:before="280"/>
      </w:pPr>
      <w:r>
        <w:rPr>
          <w:rFonts w:ascii="Arial" w:cs="Arial" w:eastAsia="Arial" w:hAnsi="Arial"/>
          <w:b/>
          <w:bCs/>
          <w:color w:val="185FA5"/>
          <w:sz w:val="26"/>
          <w:szCs w:val="26"/>
        </w:rPr>
        <w:t xml:space="preserve">Engagement urgency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URGENCY SCORE</w:t>
            </w:r>
          </w:p>
        </w:tc>
        <w:tc>
          <w:tcPr>
            <w:tcW w:type="dxa" w:w="312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TIME-TO-ENGAGE</w:t>
            </w:r>
          </w:p>
        </w:tc>
        <w:tc>
          <w:tcPr>
            <w:tcW w:type="dxa" w:w="312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STRATEGIC RANK</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595959"/>
                <w:sz w:val="32"/>
                <w:szCs w:val="32"/>
              </w:rPr>
              <w:t xml:space="preserve">3 / 15</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595959"/>
                <w:sz w:val="22"/>
                <w:szCs w:val="22"/>
              </w:rPr>
              <w:t xml:space="preserve">LONG-CYCLE (Phase 3+ or Hold)</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1A2B3C"/>
                <w:sz w:val="22"/>
                <w:szCs w:val="22"/>
              </w:rPr>
              <w:t xml:space="preserve">#7 of 7  (MONITOR-MODE)</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Why this urgency score — 5-signal breakdown</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900"/>
        <w:gridCol w:w="9000"/>
      </w:tblGrid>
      <w:tr>
        <w:trPr>
          <w:tblHeader/>
        </w:trPr>
        <w:tc>
          <w:tcPr>
            <w:tcW w:type="dxa" w:w="6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
            </w:r>
          </w:p>
        </w:tc>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Signal</w:t>
            </w:r>
          </w:p>
        </w:tc>
        <w:tc>
          <w:tcPr>
            <w:tcW w:type="dxa" w:w="9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Score</w:t>
            </w:r>
          </w:p>
        </w:tc>
        <w:tc>
          <w:tcPr>
            <w:tcW w:type="dxa" w:w="90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Why this score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Leadership transition</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595959"/>
                <w:sz w:val="20"/>
                <w:szCs w:val="20"/>
              </w:rPr>
              <w:t xml:space="preserve">0/3</w:t>
            </w:r>
          </w:p>
        </w:tc>
        <w:tc>
          <w:tcPr>
            <w:tcW w:type="dxa" w:w="9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Dudan family-led (Jeff CEO, Zack COO). No transition window.</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In-window event presence</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595959"/>
                <w:sz w:val="20"/>
                <w:szCs w:val="20"/>
              </w:rPr>
              <w:t xml:space="preserve">0/3</w:t>
            </w:r>
          </w:p>
        </w:tc>
        <w:tc>
          <w:tcPr>
            <w:tcW w:type="dxa" w:w="9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No HomeFront target confirmed at any in-window event.</w:t>
            </w:r>
          </w:p>
        </w:tc>
      </w:tr>
      <w:tr>
        <w:tc>
          <w:tcPr>
            <w:tcW w:type="dxa" w:w="6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Active buying-mode signals</w:t>
            </w:r>
          </w:p>
        </w:tc>
        <w:tc>
          <w:tcPr>
            <w:tcW w:type="dxa" w:w="9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0"/>
                <w:szCs w:val="20"/>
              </w:rPr>
              <w:t xml:space="preserve">1/3</w:t>
            </w:r>
          </w:p>
        </w:tc>
        <w:tc>
          <w:tcPr>
            <w:tcW w:type="dxa" w:w="9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FDD shows limited franchisor tooling. No active speaking/publishing pattern at C-suite level.</w:t>
            </w:r>
          </w:p>
        </w:tc>
      </w:tr>
      <w:tr>
        <w:tc>
          <w:tcPr>
            <w:tcW w:type="dxa" w:w="6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Existing access vector</w:t>
            </w:r>
          </w:p>
        </w:tc>
        <w:tc>
          <w:tcPr>
            <w:tcW w:type="dxa" w:w="9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0"/>
                <w:szCs w:val="20"/>
              </w:rPr>
              <w:t xml:space="preserve">1/3</w:t>
            </w:r>
          </w:p>
        </w:tc>
        <w:tc>
          <w:tcPr>
            <w:tcW w:type="dxa" w:w="9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No documented warm path to Dudan Group family office. Private ownership limits warm intro pathways.</w:t>
            </w:r>
          </w:p>
        </w:tc>
      </w:tr>
      <w:tr>
        <w:tc>
          <w:tcPr>
            <w:tcW w:type="dxa" w:w="6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Active vendor evaluation</w:t>
            </w:r>
          </w:p>
        </w:tc>
        <w:tc>
          <w:tcPr>
            <w:tcW w:type="dxa" w:w="9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0"/>
                <w:szCs w:val="20"/>
              </w:rPr>
              <w:t xml:space="preserve">1/3</w:t>
            </w:r>
          </w:p>
        </w:tc>
        <w:tc>
          <w:tcPr>
            <w:tcW w:type="dxa" w:w="9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Unhappy Franchisee Dec 2025 signals operator turmoil — but family office governance issues mean franchisor-level tech investment is questionable. Bottom-up path is the only realistic Phase 1 opening, but Brothers That Just Do Gutters scored low on Track 2 P1 anyway.</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What this means — first engagement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Where to start with HomeFront Brands this week</w:t>
            </w:r>
          </w:p>
          <w:p>
            <w:r>
              <w:rPr>
                <w:rFonts w:ascii="Arial" w:cs="Arial" w:eastAsia="Arial" w:hAnsi="Arial"/>
                <w:sz w:val="22"/>
                <w:szCs w:val="22"/>
              </w:rPr>
              <w:t xml:space="preserve">HomeFront stays Monitor posture. No Phase 1 active engagement. Reassess Q3 when franchisor governance picture clarifies.</w:t>
            </w:r>
          </w:p>
        </w:tc>
      </w:tr>
    </w:tbl>
    <w:p>
      <w:pPr>
        <w:spacing w:after="80" w:before="80"/>
      </w:pPr>
      <w:r>
        <w:rPr>
          <w:rFonts w:ascii="Arial" w:cs="Arial" w:eastAsia="Arial" w:hAnsi="Arial"/>
          <w:b w:val="false"/>
          <w:bCs w:val="false"/>
          <w:sz w:val="22"/>
          <w:szCs w:val="22"/>
        </w:rPr>
        <w:t xml:space="preserve">1. Hold — no Phase 1 actions.</w:t>
      </w:r>
    </w:p>
    <w:p>
      <w:pPr>
        <w:spacing w:after="80" w:before="80"/>
      </w:pPr>
      <w:r>
        <w:rPr>
          <w:rFonts w:ascii="Arial" w:cs="Arial" w:eastAsia="Arial" w:hAnsi="Arial"/>
          <w:b w:val="false"/>
          <w:bCs w:val="false"/>
          <w:sz w:val="22"/>
          <w:szCs w:val="22"/>
        </w:rPr>
        <w:t xml:space="preserve">2. Reassess Q3: revisit Unhappy Franchisee signals + any leadership change at HomeFront.</w:t>
      </w:r>
    </w:p>
    <w:p>
      <w:pPr>
        <w:spacing w:after="80" w:before="80"/>
      </w:pPr>
      <w:r>
        <w:rPr>
          <w:rFonts w:ascii="Arial" w:cs="Arial" w:eastAsia="Arial" w:hAnsi="Arial"/>
          <w:b w:val="false"/>
          <w:bCs w:val="false"/>
          <w:sz w:val="22"/>
          <w:szCs w:val="22"/>
        </w:rPr>
        <w:t xml:space="preserve">3. If operator-level intel surfaces opportunistically through Track 1 P1 marketing reach, capture it for Phase 2 evaluation.</w:t>
      </w:r>
    </w:p>
    <w:p>
      <w:pPr>
        <w:pBdr>
          <w:bottom w:val="single" w:color="185FA5" w:sz="6" w:space="1"/>
        </w:pBdr>
        <w:spacing w:after="120" w:before="120"/>
      </w:pPr>
    </w:p>
    <w:p>
      <w:pPr>
        <w:pStyle w:val="Heading2"/>
        <w:spacing w:after="140" w:before="280"/>
      </w:pPr>
      <w:r>
        <w:rPr>
          <w:rFonts w:ascii="Arial" w:cs="Arial" w:eastAsia="Arial" w:hAnsi="Arial"/>
          <w:b/>
          <w:bCs/>
          <w:color w:val="185FA5"/>
          <w:sz w:val="26"/>
          <w:szCs w:val="26"/>
        </w:rPr>
        <w:t xml:space="preserve">Where this one 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CEBEB"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HomeFront Brands is ranked 7 of 7 P1 targets — character: MONITOR-MODE</w:t>
            </w:r>
          </w:p>
          <w:p>
            <w:r>
              <w:rPr>
                <w:rFonts w:ascii="Arial" w:cs="Arial" w:eastAsia="Arial" w:hAnsi="Arial"/>
                <w:sz w:val="22"/>
                <w:szCs w:val="22"/>
              </w:rPr>
              <w:t xml:space="preserve">MONITOR-MODE character. My read is active engagement isn't right in the current quarter. Family office ownership, franchisee turmoil, and the lowest score (44.0 V2) combine to a high-friction, low-return profile. We keep HomeFront on the P1 list for visibility but not in the active sequence.</w:t>
            </w:r>
          </w:p>
        </w:tc>
      </w:tr>
    </w:tbl>
    <w:p>
      <w:pPr>
        <w:pStyle w:val="Heading2"/>
        <w:spacing w:after="140" w:before="280"/>
      </w:pPr>
      <w:r>
        <w:rPr>
          <w:rFonts w:ascii="Arial" w:cs="Arial" w:eastAsia="Arial" w:hAnsi="Arial"/>
          <w:b/>
          <w:bCs/>
          <w:color w:val="185FA5"/>
          <w:sz w:val="26"/>
          <w:szCs w:val="26"/>
        </w:rPr>
        <w:t xml:space="preserve">Where I think we wedge in</w:t>
      </w:r>
    </w:p>
    <w:p>
      <w:pPr>
        <w:spacing w:after="80" w:before="80"/>
      </w:pPr>
      <w:r>
        <w:rPr>
          <w:rFonts w:ascii="Arial" w:cs="Arial" w:eastAsia="Arial" w:hAnsi="Arial"/>
          <w:sz w:val="22"/>
          <w:szCs w:val="22"/>
        </w:rPr>
        <w:t xml:space="preserve">No active wedge recommended. HomeFront goes into monitor-only status until Q3/Q4 2026 clarity on franchisee stability. If signals improve, reassess as tactical opportunity similar to ResiBrands / Five Star.</w:t>
      </w:r>
    </w:p>
    <w:p>
      <w:pPr>
        <w:pStyle w:val="ListParagraph"/>
        <w:numPr>
          <w:ilvl w:val="0"/>
          <w:numId w:val="2"/>
        </w:numPr>
        <w:spacing w:after="40" w:before="40"/>
      </w:pPr>
      <w:r>
        <w:rPr>
          <w:rFonts w:ascii="Arial" w:cs="Arial" w:eastAsia="Arial" w:hAnsi="Arial"/>
          <w:sz w:val="22"/>
          <w:szCs w:val="22"/>
        </w:rPr>
        <w:t xml:space="preserve">Monitor Unhappy Franchisee forum + franchisee satisfaction rankings.</w:t>
      </w:r>
    </w:p>
    <w:p>
      <w:pPr>
        <w:pStyle w:val="ListParagraph"/>
        <w:numPr>
          <w:ilvl w:val="0"/>
          <w:numId w:val="2"/>
        </w:numPr>
        <w:spacing w:after="40" w:before="40"/>
      </w:pPr>
      <w:r>
        <w:rPr>
          <w:rFonts w:ascii="Arial" w:cs="Arial" w:eastAsia="Arial" w:hAnsi="Arial"/>
          <w:sz w:val="22"/>
          <w:szCs w:val="22"/>
        </w:rPr>
        <w:t xml:space="preserve">Monitor Dudan Group capital activity — any outside investment would change exit dynamics.</w:t>
      </w:r>
    </w:p>
    <w:p>
      <w:pPr>
        <w:pStyle w:val="ListParagraph"/>
        <w:numPr>
          <w:ilvl w:val="0"/>
          <w:numId w:val="2"/>
        </w:numPr>
        <w:spacing w:after="40" w:before="40"/>
      </w:pPr>
      <w:r>
        <w:rPr>
          <w:rFonts w:ascii="Arial" w:cs="Arial" w:eastAsia="Arial" w:hAnsi="Arial"/>
          <w:sz w:val="22"/>
          <w:szCs w:val="22"/>
        </w:rPr>
        <w:t xml:space="preserve">If HomeFront adds franchisor-level FSM mandate, reassess immediately.</w:t>
      </w:r>
    </w:p>
    <w:p>
      <w:pPr>
        <w:pStyle w:val="ListParagraph"/>
        <w:numPr>
          <w:ilvl w:val="0"/>
          <w:numId w:val="2"/>
        </w:numPr>
        <w:spacing w:after="40" w:before="40"/>
      </w:pPr>
      <w:r>
        <w:rPr>
          <w:rFonts w:ascii="Arial" w:cs="Arial" w:eastAsia="Arial" w:hAnsi="Arial"/>
          <w:sz w:val="22"/>
          <w:szCs w:val="22"/>
        </w:rPr>
        <w:t xml:space="preserve">Active engagement NOT recommended before Q4 2026 checkpoint.</w:t>
      </w:r>
    </w:p>
    <w:p>
      <w:pPr>
        <w:pStyle w:val="Heading2"/>
        <w:spacing w:after="140" w:before="280"/>
      </w:pPr>
      <w:r>
        <w:rPr>
          <w:rFonts w:ascii="Arial" w:cs="Arial" w:eastAsia="Arial" w:hAnsi="Arial"/>
          <w:b/>
          <w:bCs/>
          <w:color w:val="185FA5"/>
          <w:sz w:val="26"/>
          <w:szCs w:val="26"/>
        </w:rPr>
        <w:t xml:space="preserve">Warm path — where we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Target person</w:t>
            </w:r>
          </w:p>
        </w:tc>
        <w:tc>
          <w:tcPr>
            <w:tcW w:type="dxa" w:w="31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Role</w:t>
            </w:r>
          </w:p>
        </w:tc>
        <w:tc>
          <w:tcPr>
            <w:tcW w:type="dxa" w:w="31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Warm path</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Jeff Dudan</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Founder/CEO</w:t>
            </w:r>
          </w:p>
        </w:tc>
        <w:tc>
          <w:tcPr>
            <w:tcW w:type="dxa" w:w="318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bCs/>
                <w:i w:val="false"/>
                <w:iCs w:val="false"/>
                <w:color w:val="701010"/>
                <w:sz w:val="20"/>
                <w:szCs w:val="20"/>
              </w:rPr>
              <w:t xml:space="preserve">None identified — family office, limited external relationships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Zack Dudan</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COO</w:t>
            </w:r>
          </w:p>
        </w:tc>
        <w:tc>
          <w:tcPr>
            <w:tcW w:type="dxa" w:w="318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bCs/>
                <w:i w:val="false"/>
                <w:iCs w:val="false"/>
                <w:color w:val="701010"/>
                <w:sz w:val="20"/>
                <w:szCs w:val="20"/>
              </w:rPr>
              <w:t xml:space="preserve">None identified</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 Accel-KKR work — open item</w:t>
            </w:r>
          </w:p>
          <w:p>
            <w:r>
              <w:rPr>
                <w:rFonts w:ascii="Arial" w:cs="Arial" w:eastAsia="Arial" w:hAnsi="Arial"/>
                <w:sz w:val="22"/>
                <w:szCs w:val="22"/>
              </w:rPr>
              <w:t xml:space="preserve">The Accel-KKR warm-path work remains open pending GPSI team's activation. Specific introduction targets and timing are in discussion. This document will be updated as that path materializes.</w:t>
            </w:r>
          </w:p>
        </w:tc>
      </w:tr>
    </w:tbl>
    <w:p>
      <w:pPr>
        <w:pStyle w:val="Heading2"/>
        <w:spacing w:after="140" w:before="280"/>
      </w:pPr>
      <w:r>
        <w:rPr>
          <w:rFonts w:ascii="Arial" w:cs="Arial" w:eastAsia="Arial" w:hAnsi="Arial"/>
          <w:b/>
          <w:bCs/>
          <w:color w:val="185FA5"/>
          <w:sz w:val="26"/>
          <w:szCs w:val="26"/>
        </w:rPr>
        <w:t xml:space="preserve">How I see this playing out</w:t>
      </w:r>
    </w:p>
    <w:p>
      <w:pPr>
        <w:spacing w:after="80" w:before="80"/>
      </w:pPr>
      <w:r>
        <w:rPr>
          <w:rFonts w:ascii="Arial" w:cs="Arial" w:eastAsia="Arial" w:hAnsi="Arial"/>
          <w:b/>
          <w:bCs/>
          <w:color w:val="185FA5"/>
          <w:sz w:val="22"/>
          <w:szCs w:val="22"/>
        </w:rPr>
        <w:t xml:space="preserve">Step 1. </w:t>
      </w:r>
      <w:r>
        <w:rPr>
          <w:rFonts w:ascii="Arial" w:cs="Arial" w:eastAsia="Arial" w:hAnsi="Arial"/>
          <w:sz w:val="22"/>
          <w:szCs w:val="22"/>
        </w:rPr>
        <w:t xml:space="preserve">Monitor-only posture for the current quarter.</w:t>
      </w:r>
    </w:p>
    <w:p>
      <w:pPr>
        <w:spacing w:after="80" w:before="80"/>
      </w:pPr>
      <w:r>
        <w:rPr>
          <w:rFonts w:ascii="Arial" w:cs="Arial" w:eastAsia="Arial" w:hAnsi="Arial"/>
          <w:b/>
          <w:bCs/>
          <w:color w:val="185FA5"/>
          <w:sz w:val="22"/>
          <w:szCs w:val="22"/>
        </w:rPr>
        <w:t xml:space="preserve">Step 2. </w:t>
      </w:r>
      <w:r>
        <w:rPr>
          <w:rFonts w:ascii="Arial" w:cs="Arial" w:eastAsia="Arial" w:hAnsi="Arial"/>
          <w:sz w:val="22"/>
          <w:szCs w:val="22"/>
        </w:rPr>
        <w:t xml:space="preserve">Q3 2026 check — franchisee sentiment + franchisor financial posture.</w:t>
      </w:r>
    </w:p>
    <w:p>
      <w:pPr>
        <w:spacing w:after="80" w:before="80"/>
      </w:pPr>
      <w:r>
        <w:rPr>
          <w:rFonts w:ascii="Arial" w:cs="Arial" w:eastAsia="Arial" w:hAnsi="Arial"/>
          <w:b/>
          <w:bCs/>
          <w:color w:val="185FA5"/>
          <w:sz w:val="22"/>
          <w:szCs w:val="22"/>
        </w:rPr>
        <w:t xml:space="preserve">Step 3. </w:t>
      </w:r>
      <w:r>
        <w:rPr>
          <w:rFonts w:ascii="Arial" w:cs="Arial" w:eastAsia="Arial" w:hAnsi="Arial"/>
          <w:sz w:val="22"/>
          <w:szCs w:val="22"/>
        </w:rPr>
        <w:t xml:space="preserve">Q4 2026 check — active engagement decision.</w:t>
      </w:r>
    </w:p>
    <w:p>
      <w:pPr>
        <w:spacing w:after="80" w:before="80"/>
      </w:pPr>
      <w:r>
        <w:rPr>
          <w:rFonts w:ascii="Arial" w:cs="Arial" w:eastAsia="Arial" w:hAnsi="Arial"/>
          <w:b/>
          <w:bCs/>
          <w:color w:val="185FA5"/>
          <w:sz w:val="22"/>
          <w:szCs w:val="22"/>
        </w:rPr>
        <w:t xml:space="preserve">Step 4. </w:t>
      </w:r>
      <w:r>
        <w:rPr>
          <w:rFonts w:ascii="Arial" w:cs="Arial" w:eastAsia="Arial" w:hAnsi="Arial"/>
          <w:sz w:val="22"/>
          <w:szCs w:val="22"/>
        </w:rPr>
        <w:t xml:space="preserve">Reassess tier assignment based on Q4 2026 signals.</w:t>
      </w:r>
    </w:p>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 Competitive landscape — where the headwinds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F4"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My read on HomeFront Brands's FSM landscape</w:t>
            </w:r>
          </w:p>
          <w:p>
            <w:r>
              <w:rPr>
                <w:rFonts w:ascii="Arial" w:cs="Arial" w:eastAsia="Arial" w:hAnsi="Arial"/>
                <w:sz w:val="22"/>
                <w:szCs w:val="22"/>
              </w:rPr>
              <w:t xml:space="preserve">Limited franchisor tooling. FSM is franchisee-choice across all brands. No mandate, no portfolio aggregation leverage for ServiceBridge. Combined with family office ownership and franchisee turmoil signals (Unhappy Franchisee Dec 2025), this is monitor-only territory. Reassess Q3/Q4 2026.</w:t>
            </w:r>
          </w:p>
        </w:tc>
      </w:tr>
    </w:tbl>
    <w:p>
      <w:pPr>
        <w:pStyle w:val="Heading2"/>
        <w:spacing w:after="140" w:before="280"/>
      </w:pPr>
      <w:r>
        <w:rPr>
          <w:rFonts w:ascii="Arial" w:cs="Arial" w:eastAsia="Arial" w:hAnsi="Arial"/>
          <w:b/>
          <w:bCs/>
          <w:color w:val="185FA5"/>
          <w:sz w:val="26"/>
          <w:szCs w:val="26"/>
        </w:rPr>
        <w:t xml:space="preserve">Brand-by-brand FSM map</w:t>
      </w:r>
    </w:p>
    <w:p>
      <w:pPr>
        <w:spacing w:after="80" w:before="80"/>
      </w:pPr>
      <w:r>
        <w:rPr>
          <w:rFonts w:ascii="Arial" w:cs="Arial" w:eastAsia="Arial" w:hAnsi="Arial"/>
          <w:sz w:val="22"/>
          <w:szCs w:val="22"/>
        </w:rPr>
        <w:t xml:space="preserve">Where each brand stands on FSM today, who pays for it, and how big the headwind is for displacement. Highlights where we have open territory vs where the incumbent is locked in.</w:t>
      </w:r>
    </w:p>
    <w:tbl>
      <w:tblPr>
        <w:tblW w:type="dxa" w:w="1078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800"/>
        <w:gridCol w:w="1100"/>
        <w:gridCol w:w="950"/>
        <w:gridCol w:w="3330"/>
      </w:tblGrid>
      <w:tr>
        <w:trPr>
          <w:tblHeader/>
        </w:trPr>
        <w:tc>
          <w:tcPr>
            <w:tcW w:type="dxa" w:w="17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Brand</w:t>
            </w:r>
          </w:p>
        </w:tc>
        <w:tc>
          <w:tcPr>
            <w:tcW w:type="dxa" w:w="19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Current FSM</w:t>
            </w:r>
          </w:p>
        </w:tc>
        <w:tc>
          <w:tcPr>
            <w:tcW w:type="dxa" w:w="18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Mandate vs choice</w:t>
            </w:r>
          </w:p>
        </w:tc>
        <w:tc>
          <w:tcPr>
            <w:tcW w:type="dxa" w:w="11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Headwind</w:t>
            </w:r>
          </w:p>
        </w:tc>
        <w:tc>
          <w:tcPr>
            <w:tcW w:type="dxa" w:w="95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GPO</w:t>
            </w:r>
          </w:p>
        </w:tc>
        <w:tc>
          <w:tcPr>
            <w:tcW w:type="dxa" w:w="333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My read</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Mosquito Authority</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LOW</w:t>
            </w:r>
          </w:p>
        </w:tc>
        <w:tc>
          <w:tcPr>
            <w:tcW w:type="dxa" w:w="95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Yes</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Pest control. Fleet-heavy. Smaller footprint than Mosquito Shield or Mosquito Squad.</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The Designery (HomeFront's)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LOW</w:t>
            </w:r>
          </w:p>
        </w:tc>
        <w:tc>
          <w:tcPr>
            <w:tcW w:type="dxa" w:w="95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Yes</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Kitchen/bath design. Note: similar name to PSB's brand, different system.</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Window Hero</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LOW</w:t>
            </w:r>
          </w:p>
        </w:tc>
        <w:tc>
          <w:tcPr>
            <w:tcW w:type="dxa" w:w="95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Yes</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Window/exterior cleaning.</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Rubbish Works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LOW</w:t>
            </w:r>
          </w:p>
        </w:tc>
        <w:tc>
          <w:tcPr>
            <w:tcW w:type="dxa" w:w="95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Yes</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Junk removal.</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Yard Card</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LOW</w:t>
            </w:r>
          </w:p>
        </w:tc>
        <w:tc>
          <w:tcPr>
            <w:tcW w:type="dxa" w:w="95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Yes</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Lawn signs/event yard greetings. Specialty.</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Top Rail Fence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LOW</w:t>
            </w:r>
          </w:p>
        </w:tc>
        <w:tc>
          <w:tcPr>
            <w:tcW w:type="dxa" w:w="95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Yes</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Fencing specialty.</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888780"/>
          <w:sz w:val="22"/>
          <w:szCs w:val="22"/>
        </w:rPr>
        <w:t xml:space="preserve">Headwind shorthand: LOW = open territory · MEDIUM = displacement effort · HIGH = entrenched specialty · LOCKED = mandated incumbent · HARD CONFLICT = competing against existing GPSI partnership · OPPORTUNITY = potential integration angle · NOT FSM = different category, no conflict · TBD = headwind level not yet determined.</w:t>
      </w:r>
    </w:p>
    <w:p>
      <w:pPr>
        <w:pStyle w:val="Heading2"/>
        <w:spacing w:after="140" w:before="280"/>
      </w:pPr>
      <w:r>
        <w:rPr>
          <w:rFonts w:ascii="Arial" w:cs="Arial" w:eastAsia="Arial" w:hAnsi="Arial"/>
          <w:b/>
          <w:bCs/>
          <w:color w:val="185FA5"/>
          <w:sz w:val="26"/>
          <w:szCs w:val="26"/>
        </w:rPr>
        <w:t xml:space="preserve">How this shapes our approach</w:t>
      </w:r>
    </w:p>
    <w:p>
      <w:pPr>
        <w:spacing w:after="80" w:before="80"/>
      </w:pPr>
      <w:r>
        <w:rPr>
          <w:rFonts w:ascii="Arial" w:cs="Arial" w:eastAsia="Arial" w:hAnsi="Arial"/>
          <w:sz w:val="22"/>
          <w:szCs w:val="22"/>
        </w:rPr>
        <w:t xml:space="preserve">The headwind map tells us where to wedge in first. We lead with LOW headwind brands to build proof points, then bring those wins into MEDIUM headwind conversations. We avoid LOCKED brands entirely. HARD CONFLICT items get flagged to figure out together with the team — that's where partnership choreography matters most.</w:t>
      </w:r>
    </w:p>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 Marketing touches &amp; warm-up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F4"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Why this section exists</w:t>
            </w:r>
          </w:p>
          <w:p>
            <w:r>
              <w:rPr>
                <w:rFonts w:ascii="Arial" w:cs="Arial" w:eastAsia="Arial" w:hAnsi="Arial"/>
                <w:sz w:val="22"/>
                <w:szCs w:val="22"/>
              </w:rPr>
              <w:t xml:space="preserve">PE warm path is high-leverage but slow. We can't depend on KKR or Apax or MidOcean to schedule the meeting that gets us in. We need GPS Insight and ServiceBridge to be names franchisor leadership has heard before — multiple times, through multiple channels — by the time the warm path activates. This section is the framework for that. Marketing ownership sits with Marketing teammates; my read is here to give us a starting point.</w:t>
            </w:r>
          </w:p>
        </w:tc>
      </w:tr>
    </w:tbl>
    <w:p>
      <w:pPr>
        <w:pStyle w:val="Heading2"/>
        <w:spacing w:after="140" w:before="280"/>
      </w:pPr>
      <w:r>
        <w:rPr>
          <w:rFonts w:ascii="Arial" w:cs="Arial" w:eastAsia="Arial" w:hAnsi="Arial"/>
          <w:b/>
          <w:bCs/>
          <w:color w:val="185FA5"/>
          <w:sz w:val="26"/>
          <w:szCs w:val="26"/>
        </w:rPr>
        <w:t xml:space="preserve">The framework — 7 channels we should be working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Channel</w:t>
            </w:r>
          </w:p>
        </w:tc>
        <w:tc>
          <w:tcPr>
            <w:tcW w:type="dxa" w:w="69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What it does for us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Event presence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Show up where they show up. IFA Annual, franchisor annual conventions, vertical-specific industry events. Booth, sponsorship, or attendee — physical proximity matters.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LinkedIn engagement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Authentic, sustained engagement with executive content. Not spammy comments — real engagement that demonstrates we understand their business. Build name recognition over months, not weeks.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Challenge coin / branded touch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Tasteful, deliberate physical touches sent with personal notes. Not mass mailers — hand-delivered or hand-mailed to named executives. Signals 'we built something we care about,' not 'we want to sell you something.'</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Press / earned media</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Get GPS Insight + ServiceBridge into franchise industry publications they read. Franchise Times, Franchise Update, Entrepreneur Franchise, FranchiseWire. Plus vertical-specific trade press for franchisee-level reach.</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Mutual connections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Map who in our combined networks already touches their network. Mutual LinkedIn connections, ex-colleagues, industry friends. Quietly identify warm second-degree paths to executives.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Inbound franchisee signal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If a franchisee inquires about ServiceBridge, that signal travels back upstream. Franchisee-level adoption creates pull at the franchisor level. We track these and use them deliberately.</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Sponsorships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Strategic sponsorship of franchisor events, IFA tracks, vertical conferences where target executives are speaking. Visibility plus credibility plus the chance to host a meeting on-site.</w:t>
            </w:r>
          </w:p>
        </w:tc>
      </w:tr>
    </w:tbl>
    <w:p>
      <w:pPr>
        <w:pStyle w:val="Heading2"/>
        <w:spacing w:after="140" w:before="280"/>
      </w:pPr>
      <w:r>
        <w:rPr>
          <w:rFonts w:ascii="Arial" w:cs="Arial" w:eastAsia="Arial" w:hAnsi="Arial"/>
          <w:b/>
          <w:bCs/>
          <w:color w:val="185FA5"/>
          <w:sz w:val="26"/>
          <w:szCs w:val="26"/>
        </w:rPr>
        <w:t xml:space="preserve">What I see for HomeFront Brands specifically</w:t>
      </w:r>
    </w:p>
    <w:p>
      <w:pPr>
        <w:spacing w:after="100" w:before="200"/>
      </w:pPr>
      <w:r>
        <w:rPr>
          <w:rFonts w:ascii="Arial" w:cs="Arial" w:eastAsia="Arial" w:hAnsi="Arial"/>
          <w:b/>
          <w:bCs/>
          <w:color w:val="1A2B3C"/>
          <w:sz w:val="22"/>
          <w:szCs w:val="22"/>
        </w:rPr>
        <w:t xml:space="preserve">Past events — what we can learn</w:t>
      </w:r>
    </w:p>
    <w:p>
      <w:pPr>
        <w:spacing w:after="80" w:before="80"/>
      </w:pPr>
      <w:r>
        <w:rPr>
          <w:rFonts w:ascii="Arial" w:cs="Arial" w:eastAsia="Arial" w:hAnsi="Arial"/>
          <w:sz w:val="22"/>
          <w:szCs w:val="22"/>
        </w:rPr>
        <w:t xml:space="preserve">If an event already happened, it's no longer an engagement priority. But we can still mine it for intel — vendor lists, recognized franchisees, leadership themes, who spoke on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80"/>
        <w:gridCol w:w="2680"/>
      </w:tblGrid>
      <w:tr>
        <w:trPr>
          <w:tblHeader/>
        </w:trPr>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Event</w:t>
            </w:r>
          </w:p>
        </w:tc>
        <w:tc>
          <w:tcPr>
            <w:tcW w:type="dxa" w:w="16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When</w:t>
            </w:r>
          </w:p>
        </w:tc>
        <w:tc>
          <w:tcPr>
            <w:tcW w:type="dxa" w:w="26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Context</w:t>
            </w:r>
          </w:p>
        </w:tc>
        <w:tc>
          <w:tcPr>
            <w:tcW w:type="dxa" w:w="26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What we should look for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IFA Annual Convention 2026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Feb 22-25 2026, Las Vegas</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Family office franchisor — lower public visibility.</w:t>
            </w:r>
          </w:p>
        </w:tc>
        <w:tc>
          <w:tcPr>
            <w:tcW w:type="dxa" w:w="2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Confirm whether Jeff or Zack Dudan attended. Any session participation would signal reactivation.</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Upcoming events — where to engage</w:t>
      </w:r>
    </w:p>
    <w:p>
      <w:pPr>
        <w:spacing w:after="80" w:before="80"/>
      </w:pPr>
      <w:r>
        <w:rPr>
          <w:rFonts w:ascii="Arial" w:cs="Arial" w:eastAsia="Arial" w:hAnsi="Arial"/>
          <w:sz w:val="22"/>
          <w:szCs w:val="22"/>
        </w:rPr>
        <w:t xml:space="preserve">Where executives will be in the next 12 months. These are the actual engagement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560"/>
        <w:gridCol w:w="1200"/>
      </w:tblGrid>
      <w:tr>
        <w:trPr>
          <w:tblHeader/>
        </w:trPr>
        <w:tc>
          <w:tcPr>
            <w:tcW w:type="dxa" w:w="28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Event</w:t>
            </w:r>
          </w:p>
        </w:tc>
        <w:tc>
          <w:tcPr>
            <w:tcW w:type="dxa" w:w="18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When</w:t>
            </w:r>
          </w:p>
        </w:tc>
        <w:tc>
          <w:tcPr>
            <w:tcW w:type="dxa" w:w="35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Why it matters</w:t>
            </w:r>
          </w:p>
        </w:tc>
        <w:tc>
          <w:tcPr>
            <w:tcW w:type="dxa" w:w="12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Monitor posture this period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Reassess at Q3/Q4 2026 milestone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Active engagement not recommended this quarter given franchisee turmoil signals + family office complexity. Watch IFA 2027 and EFC 2026 for any reactivation signals.</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i w:val="false"/>
                <w:iCs w:val="false"/>
                <w:color w:val="701010"/>
                <w:sz w:val="15"/>
                <w:szCs w:val="15"/>
              </w:rPr>
              <w:t xml:space="preserve">MONITOR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IFA Emerging Franchisor Conference 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November 16-18, 2026 — Nashville, TN</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Watch only. Jeff or Zack Dudan attendance + session participation = signal worth investigating.</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i w:val="false"/>
                <w:iCs w:val="false"/>
                <w:color w:val="701010"/>
                <w:sz w:val="15"/>
                <w:szCs w:val="15"/>
              </w:rPr>
              <w:t xml:space="preserve">MONITOR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PestWorld 2026 (NPMA)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October 20-23, 2026 — Gaylord Texan, Grapevine, TX</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Mosquito Authority franchisees attend. Could pick up franchisee-level intel without engaging at franchisor level.</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i w:val="false"/>
                <w:iCs w:val="false"/>
                <w:color w:val="701010"/>
                <w:sz w:val="15"/>
                <w:szCs w:val="15"/>
              </w:rPr>
              <w:t xml:space="preserve">MONITOR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IFA Annual Convention 2027</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Feb 22-24, 2027 — Mandalay Bay, Las Vegas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Watch for HomeFront leadership presence as reactivation signal.</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i w:val="false"/>
                <w:iCs w:val="false"/>
                <w:color w:val="701010"/>
                <w:sz w:val="15"/>
                <w:szCs w:val="15"/>
              </w:rPr>
              <w:t xml:space="preserve">MONITOR</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Executives to track</w:t>
      </w:r>
    </w:p>
    <w:p>
      <w:pPr>
        <w:spacing w:after="80" w:before="80"/>
      </w:pPr>
      <w:r>
        <w:rPr>
          <w:rFonts w:ascii="Arial" w:cs="Arial" w:eastAsia="Arial" w:hAnsi="Arial"/>
          <w:sz w:val="22"/>
          <w:szCs w:val="22"/>
        </w:rPr>
        <w:t xml:space="preserve">Where these executives speak, post, or appear publicly is a signal. We track their calendars and look for natural touchpoint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Executive</w:t>
            </w:r>
          </w:p>
        </w:tc>
        <w:tc>
          <w:tcPr>
            <w:tcW w:type="dxa" w:w="63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Why we track them</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Jeff Dudan (Founder/CEO)</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Family office, lower public profile. Monitor for capital-event signals.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Zack Dudan (COO)</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Limited public visibility.</w:t>
            </w:r>
          </w:p>
        </w:tc>
      </w:tr>
    </w:tbl>
    <w:p>
      <w:pPr>
        <w:spacing w:after="100" w:before="200"/>
      </w:pPr>
      <w:r>
        <w:rPr>
          <w:rFonts w:ascii="Arial" w:cs="Arial" w:eastAsia="Arial" w:hAnsi="Arial"/>
          <w:b/>
          <w:bCs/>
          <w:color w:val="1A2B3C"/>
          <w:sz w:val="22"/>
          <w:szCs w:val="22"/>
        </w:rPr>
        <w:t xml:space="preserve">Specific tactics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Channel</w:t>
            </w:r>
          </w:p>
        </w:tc>
        <w:tc>
          <w:tcPr>
            <w:tcW w:type="dxa" w:w="69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My read for HomeFront Brands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LinkedIn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Light-touch monitoring only. Avoid heavy engagement until Q3/Q4 signals improve.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Press / earned media</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Hold for now. Re-evaluate when posture shifts to active.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Challenge coin / branded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Hold for now. Re-evaluate when posture shifts to active.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Inbound franchisee signal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Watch Unhappy Franchisee forum for sentiment shifts. Any positive franchisee-level signals trigger reassessment.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Mutual connection mapping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Dudan Group connections via franchise industry. Hold mapping until active engagement decision.</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What I'd land for marketing</w:t>
            </w:r>
          </w:p>
          <w:p>
            <w:r>
              <w:rPr>
                <w:rFonts w:ascii="Arial" w:cs="Arial" w:eastAsia="Arial" w:hAnsi="Arial"/>
                <w:sz w:val="22"/>
                <w:szCs w:val="22"/>
              </w:rPr>
              <w:t xml:space="preserve">Marketing teammates owns marketing execution. My read is we should be running 3-4 of these channels at any given time across each P1 — not all 7 channels for every target. The framework helps us pick the right combination given the warm path status, the engagement window, and what we already know about each franchisor's culture.</w:t>
            </w:r>
          </w:p>
        </w:tc>
      </w:tr>
    </w:tbl>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 Field tracking — who, where,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F4"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What this section does</w:t>
            </w:r>
          </w:p>
          <w:p>
            <w:r>
              <w:rPr>
                <w:rFonts w:ascii="Arial" w:cs="Arial" w:eastAsia="Arial" w:hAnsi="Arial"/>
                <w:sz w:val="22"/>
                <w:szCs w:val="22"/>
              </w:rPr>
              <w:t xml:space="preserve">Three views that turn the engagement plan into something operational. First, where do existing GPSI telematics relationships give us a warm wedge into HomeFront Brands. Second, which specific named leaders from our intel will be at which events — so we know exactly where to put ourselves alongside them. Third, where the wedge brand franchisees gather — corporate events, vertical-industry events, and brand-specific meetings — so we have multiple entry points beyond just the franchisor.</w:t>
            </w:r>
          </w:p>
        </w:tc>
      </w:tr>
    </w:tbl>
    <w:p>
      <w:pPr>
        <w:pStyle w:val="Heading2"/>
        <w:spacing w:after="140" w:before="280"/>
      </w:pPr>
      <w:r>
        <w:rPr>
          <w:rFonts w:ascii="Arial" w:cs="Arial" w:eastAsia="Arial" w:hAnsi="Arial"/>
          <w:b/>
          <w:bCs/>
          <w:color w:val="185FA5"/>
          <w:sz w:val="26"/>
          <w:szCs w:val="26"/>
        </w:rPr>
        <w:t xml:space="preserve">1. GPSI telematics client overlap</w:t>
      </w:r>
    </w:p>
    <w:p>
      <w:pPr>
        <w:spacing w:after="80" w:before="80"/>
      </w:pPr>
      <w:r>
        <w:rPr>
          <w:rFonts w:ascii="Arial" w:cs="Arial" w:eastAsia="Arial" w:hAnsi="Arial"/>
          <w:sz w:val="22"/>
          <w:szCs w:val="22"/>
        </w:rPr>
        <w:t xml:space="preserve">Existing GPSI customers within this franchisor's franchisee base are our warmest possible wedge — the brand relationship already exists, we extend it to ServiceBridge.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My read on GPSI overlap potential here</w:t>
            </w:r>
          </w:p>
          <w:p>
            <w:r>
              <w:rPr>
                <w:rFonts w:ascii="Arial" w:cs="Arial" w:eastAsia="Arial" w:hAnsi="Arial"/>
                <w:sz w:val="22"/>
                <w:szCs w:val="22"/>
              </w:rPr>
              <w:t xml:space="preserve">Mosquito Authority operators are the most likely GPSI overlap given pest-vertical fleet patterns. Smaller scale than Mosquito Shield or Mosquito Squad. Worth checking but Monitor-only posture means we don't activate yet.</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Open intel request to Marketing teammates:</w:t>
      </w:r>
    </w:p>
    <w:p>
      <w:pPr>
        <w:spacing w:after="80" w:before="80"/>
      </w:pPr>
      <w:r>
        <w:rPr>
          <w:rFonts w:ascii="Arial" w:cs="Arial" w:eastAsia="Arial" w:hAnsi="Arial"/>
          <w:i/>
          <w:iCs/>
          <w:sz w:val="22"/>
          <w:szCs w:val="22"/>
        </w:rPr>
        <w:t xml:space="preserve">Pull GPSI client list filtered to HomeFront Brands franchisees. Mosquito Authority highest-likelihood. Hold for Q3/Q4 reactivation decision.</w:t>
      </w:r>
    </w:p>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888780"/>
          <w:sz w:val="22"/>
          <w:szCs w:val="22"/>
        </w:rPr>
        <w:t xml:space="preserve">Status: pending intel from Marketing teammates. Once received, populated here.</w:t>
      </w:r>
    </w:p>
    <w:p>
      <w:pPr>
        <w:pStyle w:val="Heading2"/>
        <w:spacing w:after="140" w:before="280"/>
      </w:pPr>
      <w:r>
        <w:rPr>
          <w:rFonts w:ascii="Arial" w:cs="Arial" w:eastAsia="Arial" w:hAnsi="Arial"/>
          <w:b/>
          <w:bCs/>
          <w:color w:val="185FA5"/>
          <w:sz w:val="26"/>
          <w:szCs w:val="26"/>
        </w:rPr>
        <w:t xml:space="preserve">2. Where the people we want to meet will be</w:t>
      </w:r>
    </w:p>
    <w:p>
      <w:pPr>
        <w:spacing w:after="80" w:before="80"/>
      </w:pPr>
      <w:r>
        <w:rPr>
          <w:rFonts w:ascii="Arial" w:cs="Arial" w:eastAsia="Arial" w:hAnsi="Arial"/>
          <w:sz w:val="22"/>
          <w:szCs w:val="22"/>
        </w:rPr>
        <w:t xml:space="preserve">Cross-reference of leadership map against upcoming events. This is where the engagement actually happens — when a named target is in the same room we're in.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700"/>
        <w:gridCol w:w="2560"/>
      </w:tblGrid>
      <w:tr>
        <w:trPr>
          <w:tblHeader/>
        </w:trPr>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Person</w:t>
            </w:r>
          </w:p>
        </w:tc>
        <w:tc>
          <w:tcPr>
            <w:tcW w:type="dxa" w:w="27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Event</w:t>
            </w:r>
          </w:p>
        </w:tc>
        <w:tc>
          <w:tcPr>
            <w:tcW w:type="dxa" w:w="27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Why they will be there</w:t>
            </w:r>
          </w:p>
        </w:tc>
        <w:tc>
          <w:tcPr>
            <w:tcW w:type="dxa" w:w="25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How we engage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Jeff Dudan (founder)</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IFA Annual 2027 (probable)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Watch for presence as reactivation signal</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MONITOR only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Zack Dudan</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IFA Emerging Franchisor Conference 2026 (Nov 16-18 Nashville)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Watch for presence as reactivation signal</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MONITOR only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Mosquito Authority operators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PestWorld 2026 (Oct 20-23)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Pest-vertical channel</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Could pick up franchisee-level intel even in monitor mode</w:t>
            </w:r>
          </w:p>
        </w:tc>
      </w:tr>
    </w:tbl>
    <w:p>
      <w:pPr>
        <w:pStyle w:val="Heading2"/>
        <w:spacing w:after="140" w:before="280"/>
      </w:pPr>
      <w:r>
        <w:rPr>
          <w:rFonts w:ascii="Arial" w:cs="Arial" w:eastAsia="Arial" w:hAnsi="Arial"/>
          <w:b/>
          <w:bCs/>
          <w:color w:val="185FA5"/>
          <w:sz w:val="26"/>
          <w:szCs w:val="26"/>
        </w:rPr>
        <w:t xml:space="preserve">3. Wedge brand field tracking</w:t>
      </w:r>
    </w:p>
    <w:p>
      <w:pPr>
        <w:spacing w:after="80" w:before="80"/>
      </w:pPr>
      <w:r>
        <w:rPr>
          <w:rFonts w:ascii="Arial" w:cs="Arial" w:eastAsia="Arial" w:hAnsi="Arial"/>
          <w:sz w:val="22"/>
          <w:szCs w:val="22"/>
        </w:rPr>
        <w:t xml:space="preserve">If the wedge brand is where we land first, then we need to know exactly where their franchisees and corporate teams gather. Three layers per brand: corporate events, franchisee gatherings, and vertical-industry events.</w:t>
      </w:r>
    </w:p>
    <w:p>
      <w:pPr>
        <w:spacing w:after="100" w:before="200"/>
      </w:pPr>
      <w:r>
        <w:rPr>
          <w:rFonts w:ascii="Arial" w:cs="Arial" w:eastAsia="Arial" w:hAnsi="Arial"/>
          <w:b/>
          <w:bCs/>
          <w:color w:val="1A2B3C"/>
          <w:sz w:val="22"/>
          <w:szCs w:val="22"/>
        </w:rPr>
        <w:t xml:space="preserve">Monitor posture — no active wedge brand engagement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7960"/>
      </w:tblGrid>
      <w:tr>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Where corporate is</w:t>
            </w:r>
          </w:p>
        </w:tc>
        <w:tc>
          <w:tcPr>
            <w:tcW w:type="dxa" w:w="7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Reassess Q3/Q4 2026</w:t>
            </w:r>
          </w:p>
        </w:tc>
      </w:tr>
      <w:tr>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Where franchisees gather</w:t>
            </w:r>
          </w:p>
        </w:tc>
        <w:tc>
          <w:tcPr>
            <w:tcW w:type="dxa" w:w="7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PestWorld 2026 (Mosquito Authority) — intel only</w:t>
            </w:r>
          </w:p>
        </w:tc>
      </w:tr>
      <w:tr>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Vertical industry events</w:t>
            </w:r>
          </w:p>
        </w:tc>
        <w:tc>
          <w:tcPr>
            <w:tcW w:type="dxa" w:w="7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Watch for any signs of franchisor reactivation</w:t>
            </w:r>
          </w:p>
        </w:tc>
      </w:tr>
      <w:tr>
        <w:tc>
          <w:tcPr>
            <w:tcW w:type="dxa" w:w="2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left"/>
            </w:pPr>
            <w:r>
              <w:rPr>
                <w:rFonts w:ascii="Arial" w:cs="Arial" w:eastAsia="Arial" w:hAnsi="Arial"/>
                <w:b/>
                <w:bCs/>
                <w:i w:val="false"/>
                <w:iCs w:val="false"/>
                <w:color w:val="27500A"/>
                <w:sz w:val="17"/>
                <w:szCs w:val="17"/>
              </w:rPr>
              <w:t xml:space="preserve">Specific intel targets</w:t>
            </w:r>
          </w:p>
        </w:tc>
        <w:tc>
          <w:tcPr>
            <w:tcW w:type="dxa" w:w="796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Hold</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F4"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How we use this section</w:t>
            </w:r>
          </w:p>
          <w:p>
            <w:r>
              <w:rPr>
                <w:rFonts w:ascii="Arial" w:cs="Arial" w:eastAsia="Arial" w:hAnsi="Arial"/>
                <w:sz w:val="22"/>
                <w:szCs w:val="22"/>
              </w:rPr>
              <w:t xml:space="preserve">This is the operational layer of the engagement plan. The named-person event map drives who we book meetings with and where we put ourselves. The GPSI overlap tells us which franchisees walk into the conversation already trusting the brand. The wedge brand tracking gives us multiple entry points beyond the franchisor — vertical events, brand meetings, regional gatherings. We update this section as Marketing teammates feeds intel and as event agendas get published.</w:t>
            </w:r>
          </w:p>
        </w:tc>
      </w:tr>
    </w:tbl>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 Where Marketing teammates have unique line of 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AF3DE"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How we move from where we are to where we want to be</w:t>
            </w:r>
          </w:p>
          <w:p>
            <w:r>
              <w:rPr>
                <w:rFonts w:ascii="Arial" w:cs="Arial" w:eastAsia="Arial" w:hAnsi="Arial"/>
                <w:sz w:val="22"/>
                <w:szCs w:val="22"/>
              </w:rPr>
              <w:t xml:space="preserve">My read on HomeFront Brands: there are gaps that public research can\'t close — these are the ones where the team\'s tribal knowledge, existing relationships, and access to internal data unlock our biggest leaps. Listed here as collective gaps, not directives. Marketing teammates are best placed to move these forward.</w:t>
            </w:r>
          </w:p>
        </w:tc>
      </w:tr>
    </w:tbl>
    <w:p>
      <w:pPr>
        <w:spacing w:after="80" w:before="80"/>
      </w:pPr>
      <w:r>
        <w:rPr>
          <w:rFonts w:ascii="Arial" w:cs="Arial" w:eastAsia="Arial" w:hAnsi="Arial"/>
          <w:sz w:val="22"/>
          <w:szCs w:val="22"/>
        </w:rPr>
        <w:t xml:space="preserve">A few things where Marketing teammates' tribal knowledge would help me move faster. We'll self-assign owners on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2000"/>
        <w:gridCol w:w="2360"/>
      </w:tblGrid>
      <w:tr>
        <w:trPr>
          <w:tblHeader/>
        </w:trPr>
        <w:tc>
          <w:tcPr>
            <w:tcW w:type="dxa" w:w="9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c>
          <w:tcPr>
            <w:tcW w:type="dxa" w:w="41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What we need to validate</w:t>
            </w:r>
          </w:p>
        </w:tc>
        <w:tc>
          <w:tcPr>
            <w:tcW w:type="dxa" w:w="20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Current value/guess</w:t>
            </w:r>
          </w:p>
        </w:tc>
        <w:tc>
          <w:tcPr>
            <w:tcW w:type="dxa" w:w="23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Owner (assign on call)</w:t>
            </w:r>
          </w:p>
        </w:tc>
      </w:tr>
      <w:tr>
        <w:tc>
          <w:tcPr>
            <w:tcW w:type="dxa" w:w="9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i w:val="false"/>
                <w:iCs w:val="false"/>
                <w:color w:val="701010"/>
                <w:sz w:val="20"/>
                <w:szCs w:val="20"/>
              </w:rPr>
              <w:t xml:space="preserve">HIGH</w:t>
            </w:r>
          </w:p>
        </w:tc>
        <w:tc>
          <w:tcPr>
            <w:tcW w:type="dxa" w:w="4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Franchisee turmoil severity — what exactly is Unhappy Franchisee reporting?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8"/>
                <w:szCs w:val="18"/>
              </w:rPr>
              <w:t xml:space="preserve">Monitoring</w:t>
            </w:r>
          </w:p>
        </w:tc>
        <w:tc>
          <w:tcPr>
            <w:tcW w:type="dxa" w:w="2360"/>
            <w:tcBorders>
              <w:top w:val="single" w:color="CCCCCC" w:sz="4"/>
              <w:left w:val="single" w:color="CCCCCC" w:sz="4"/>
              <w:bottom w:val="single" w:color="CCCCCC" w:sz="4"/>
              <w:right w:val="single" w:color="CCCCCC" w:sz="4"/>
            </w:tcBorders>
            <w:shd w:fill="DEEBF7" w:val="clear"/>
            <w:tcMar>
              <w:top w:type="dxa" w:w="80"/>
              <w:left w:type="dxa" w:w="120"/>
              <w:bottom w:type="dxa" w:w="80"/>
              <w:right w:type="dxa" w:w="120"/>
            </w:tcMar>
          </w:tcPr>
          <w:p>
            <w:pPr>
              <w:jc w:val="left"/>
            </w:pPr>
            <w:r>
              <w:rPr>
                <w:rFonts w:ascii="Arial" w:cs="Arial" w:eastAsia="Arial" w:hAnsi="Arial"/>
                <w:b w:val="false"/>
                <w:bCs w:val="false"/>
                <w:i/>
                <w:iCs/>
                <w:color w:val="1F4E79"/>
                <w:sz w:val="20"/>
                <w:szCs w:val="20"/>
              </w:rPr>
              <w:t xml:space="preserve">Team</w:t>
            </w:r>
          </w:p>
        </w:tc>
      </w:tr>
      <w:tr>
        <w:tc>
          <w:tcPr>
            <w:tcW w:type="dxa" w:w="9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0"/>
                <w:szCs w:val="20"/>
              </w:rPr>
              <w:t xml:space="preserve">MED</w:t>
            </w:r>
          </w:p>
        </w:tc>
        <w:tc>
          <w:tcPr>
            <w:tcW w:type="dxa" w:w="4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Tech count validation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8"/>
                <w:szCs w:val="18"/>
              </w:rPr>
              <w:t xml:space="preserve">2,550</w:t>
            </w:r>
          </w:p>
        </w:tc>
        <w:tc>
          <w:tcPr>
            <w:tcW w:type="dxa" w:w="2360"/>
            <w:tcBorders>
              <w:top w:val="single" w:color="CCCCCC" w:sz="4"/>
              <w:left w:val="single" w:color="CCCCCC" w:sz="4"/>
              <w:bottom w:val="single" w:color="CCCCCC" w:sz="4"/>
              <w:right w:val="single" w:color="CCCCCC" w:sz="4"/>
            </w:tcBorders>
            <w:shd w:fill="DEEBF7" w:val="clear"/>
            <w:tcMar>
              <w:top w:type="dxa" w:w="80"/>
              <w:left w:type="dxa" w:w="120"/>
              <w:bottom w:type="dxa" w:w="80"/>
              <w:right w:type="dxa" w:w="120"/>
            </w:tcMar>
          </w:tcPr>
          <w:p>
            <w:pPr>
              <w:jc w:val="left"/>
            </w:pPr>
            <w:r>
              <w:rPr>
                <w:rFonts w:ascii="Arial" w:cs="Arial" w:eastAsia="Arial" w:hAnsi="Arial"/>
                <w:b w:val="false"/>
                <w:bCs w:val="false"/>
                <w:i/>
                <w:iCs/>
                <w:color w:val="1F4E79"/>
                <w:sz w:val="20"/>
                <w:szCs w:val="20"/>
              </w:rPr>
              <w:t xml:space="preserve">Team</w:t>
            </w:r>
          </w:p>
        </w:tc>
      </w:tr>
      <w:tr>
        <w:tc>
          <w:tcPr>
            <w:tcW w:type="dxa" w:w="9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0"/>
                <w:szCs w:val="20"/>
              </w:rPr>
              <w:t xml:space="preserve">MED</w:t>
            </w:r>
          </w:p>
        </w:tc>
        <w:tc>
          <w:tcPr>
            <w:tcW w:type="dxa" w:w="4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Dudan Group capital activity signals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8"/>
                <w:szCs w:val="18"/>
              </w:rPr>
              <w:t xml:space="preserve">None known</w:t>
            </w:r>
          </w:p>
        </w:tc>
        <w:tc>
          <w:tcPr>
            <w:tcW w:type="dxa" w:w="2360"/>
            <w:tcBorders>
              <w:top w:val="single" w:color="CCCCCC" w:sz="4"/>
              <w:left w:val="single" w:color="CCCCCC" w:sz="4"/>
              <w:bottom w:val="single" w:color="CCCCCC" w:sz="4"/>
              <w:right w:val="single" w:color="CCCCCC" w:sz="4"/>
            </w:tcBorders>
            <w:shd w:fill="DEEBF7" w:val="clear"/>
            <w:tcMar>
              <w:top w:type="dxa" w:w="80"/>
              <w:left w:type="dxa" w:w="120"/>
              <w:bottom w:type="dxa" w:w="80"/>
              <w:right w:type="dxa" w:w="120"/>
            </w:tcMar>
          </w:tcPr>
          <w:p>
            <w:pPr>
              <w:jc w:val="left"/>
            </w:pPr>
            <w:r>
              <w:rPr>
                <w:rFonts w:ascii="Arial" w:cs="Arial" w:eastAsia="Arial" w:hAnsi="Arial"/>
                <w:b w:val="false"/>
                <w:bCs w:val="false"/>
                <w:i/>
                <w:iCs/>
                <w:color w:val="1F4E79"/>
                <w:sz w:val="20"/>
                <w:szCs w:val="20"/>
              </w:rPr>
              <w:t xml:space="preserve">Team</w:t>
            </w:r>
          </w:p>
        </w:tc>
      </w:tr>
    </w:tbl>
    <w:p>
      <w:pPr>
        <w:pBdr>
          <w:bottom w:val="single" w:color="185FA5" w:sz="6" w:space="1"/>
        </w:pBdr>
        <w:spacing w:after="120" w:before="120"/>
      </w:pPr>
    </w:p>
    <w:p>
      <w:r>
        <w:br w:type="page"/>
      </w:r>
    </w:p>
    <w:p>
      <w:pPr>
        <w:pStyle w:val="Heading1"/>
        <w:spacing w:after="180" w:before="360"/>
      </w:pPr>
      <w:r>
        <w:rPr>
          <w:rFonts w:ascii="Arial" w:cs="Arial" w:eastAsia="Arial" w:hAnsi="Arial"/>
          <w:b/>
          <w:bCs/>
          <w:color w:val="1A2B3C"/>
          <w:sz w:val="32"/>
          <w:szCs w:val="32"/>
        </w:rPr>
        <w:t xml:space="preserve">📊 Engagement scorecard — what we're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F4"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Why this section exists</w:t>
            </w:r>
          </w:p>
          <w:p>
            <w:r>
              <w:rPr>
                <w:rFonts w:ascii="Arial" w:cs="Arial" w:eastAsia="Arial" w:hAnsi="Arial"/>
                <w:sz w:val="22"/>
                <w:szCs w:val="22"/>
              </w:rPr>
              <w:t xml:space="preserve">This is where we capture what actually happens when we engage HomeFront Brands. Every call, every LinkedIn touch, every signal — short note, what landed, what didn't, and what we change as a result. We test our assumptions on the live target, then update the rest of this package based on what we find. The package gets smarter as we go.</w:t>
            </w:r>
          </w:p>
        </w:tc>
      </w:tr>
    </w:tbl>
    <w:p>
      <w:pPr>
        <w:pStyle w:val="Heading2"/>
        <w:spacing w:after="140" w:before="280"/>
      </w:pPr>
      <w:r>
        <w:rPr>
          <w:rFonts w:ascii="Arial" w:cs="Arial" w:eastAsia="Arial" w:hAnsi="Arial"/>
          <w:b/>
          <w:bCs/>
          <w:color w:val="185FA5"/>
          <w:sz w:val="26"/>
          <w:szCs w:val="26"/>
        </w:rPr>
        <w:t xml:space="preserve">Engagement log</w:t>
      </w:r>
    </w:p>
    <w:p>
      <w:pPr>
        <w:spacing w:after="80" w:before="80"/>
      </w:pPr>
      <w:r>
        <w:rPr>
          <w:rFonts w:ascii="Arial" w:cs="Arial" w:eastAsia="Arial" w:hAnsi="Arial"/>
          <w:sz w:val="22"/>
          <w:szCs w:val="22"/>
        </w:rPr>
        <w:t xml:space="preserve">One row per meaningful interaction. Keep entries short — 30 seconds to add after a call.</w:t>
      </w:r>
    </w:p>
    <w:tbl>
      <w:tblPr>
        <w:tblW w:type="dxa" w:w="1078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700"/>
        <w:gridCol w:w="2400"/>
        <w:gridCol w:w="1200"/>
        <w:gridCol w:w="2880"/>
      </w:tblGrid>
      <w:tr>
        <w:trPr>
          <w:tblHeader/>
        </w:trPr>
        <w:tc>
          <w:tcPr>
            <w:tcW w:type="dxa" w:w="11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Date</w:t>
            </w:r>
          </w:p>
        </w:tc>
        <w:tc>
          <w:tcPr>
            <w:tcW w:type="dxa" w:w="15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Channel</w:t>
            </w:r>
          </w:p>
        </w:tc>
        <w:tc>
          <w:tcPr>
            <w:tcW w:type="dxa" w:w="17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Who</w:t>
            </w:r>
          </w:p>
        </w:tc>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What we tried</w:t>
            </w:r>
          </w:p>
        </w:tc>
        <w:tc>
          <w:tcPr>
            <w:tcW w:type="dxa" w:w="12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Signal</w:t>
            </w:r>
          </w:p>
        </w:tc>
        <w:tc>
          <w:tcPr>
            <w:tcW w:type="dxa" w:w="28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What we learned / next move</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888780"/>
          <w:sz w:val="22"/>
          <w:szCs w:val="22"/>
        </w:rPr>
        <w:t xml:space="preserve">Signal column shorthand: 🟢 strong (warm response, follow-up appetite) · 🟡 mixed (polite but no pull) · 🔴 cold (no response or pushback) · ⚪ pending (waiting on response).</w:t>
      </w:r>
    </w:p>
    <w:p>
      <w:pPr>
        <w:pStyle w:val="Heading2"/>
        <w:spacing w:after="140" w:before="280"/>
      </w:pPr>
      <w:r>
        <w:rPr>
          <w:rFonts w:ascii="Arial" w:cs="Arial" w:eastAsia="Arial" w:hAnsi="Arial"/>
          <w:b/>
          <w:bCs/>
          <w:color w:val="185FA5"/>
          <w:sz w:val="26"/>
          <w:szCs w:val="26"/>
        </w:rPr>
        <w:t xml:space="preserve">What's landing — what's not</w:t>
      </w:r>
    </w:p>
    <w:p>
      <w:pPr>
        <w:spacing w:after="80" w:before="80"/>
      </w:pPr>
      <w:r>
        <w:rPr>
          <w:rFonts w:ascii="Arial" w:cs="Arial" w:eastAsia="Arial" w:hAnsi="Arial"/>
          <w:sz w:val="22"/>
          <w:szCs w:val="22"/>
        </w:rPr>
        <w:t xml:space="preserve">Track which assumptions hold up in the field and which need to be revised. We update the rest of this package based on what we find here.</w:t>
      </w:r>
    </w:p>
    <w:tbl>
      <w:tblPr>
        <w:tblW w:type="dxa" w:w="1078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gridCol w:w="1980"/>
      </w:tblGrid>
      <w:tr>
        <w:trPr>
          <w:tblHeader/>
        </w:trPr>
        <w:tc>
          <w:tcPr>
            <w:tcW w:type="dxa" w:w="4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Hypothesis we tested</w:t>
            </w:r>
          </w:p>
        </w:tc>
        <w:tc>
          <w:tcPr>
            <w:tcW w:type="dxa" w:w="4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How it actually played</w:t>
            </w:r>
          </w:p>
        </w:tc>
        <w:tc>
          <w:tcPr>
            <w:tcW w:type="dxa" w:w="19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Q3/Q4 2026 signals will determine whether to activate or hold</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9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Family office exit dynamics differ enough from PE that our standard playbook needs adjustment</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9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Franchisee turmoil signals are stabilizing (vs deepening)</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9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9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19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 </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888780"/>
          <w:sz w:val="22"/>
          <w:szCs w:val="22"/>
        </w:rPr>
        <w:t xml:space="preserve">Status shorthand: ✓ confirmed · ✗ disproven · ↻ revising · — pending evidence.</w:t>
      </w:r>
    </w:p>
    <w:p>
      <w:pPr>
        <w:pStyle w:val="Heading2"/>
        <w:spacing w:after="140" w:before="280"/>
      </w:pPr>
      <w:r>
        <w:rPr>
          <w:rFonts w:ascii="Arial" w:cs="Arial" w:eastAsia="Arial" w:hAnsi="Arial"/>
          <w:b/>
          <w:bCs/>
          <w:color w:val="185FA5"/>
          <w:sz w:val="26"/>
          <w:szCs w:val="26"/>
        </w:rPr>
        <w:t xml:space="preserve">Package updates triggered by learnings</w:t>
      </w:r>
    </w:p>
    <w:p>
      <w:pPr>
        <w:spacing w:after="80" w:before="80"/>
      </w:pPr>
      <w:r>
        <w:rPr>
          <w:rFonts w:ascii="Arial" w:cs="Arial" w:eastAsia="Arial" w:hAnsi="Arial"/>
          <w:sz w:val="22"/>
          <w:szCs w:val="22"/>
        </w:rPr>
        <w:t xml:space="preserve">When a learning changes our approach, we update the relevant section of this package and note it here. Keeps the package live.</w:t>
      </w:r>
    </w:p>
    <w:tbl>
      <w:tblPr>
        <w:tblW w:type="dxa" w:w="1078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6580"/>
      </w:tblGrid>
      <w:tr>
        <w:trPr>
          <w:tblHeader/>
        </w:trPr>
        <w:tc>
          <w:tcPr>
            <w:tcW w:type="dxa" w:w="12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Date</w:t>
            </w:r>
          </w:p>
        </w:tc>
        <w:tc>
          <w:tcPr>
            <w:tcW w:type="dxa" w:w="30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Section updated</w:t>
            </w:r>
          </w:p>
        </w:tc>
        <w:tc>
          <w:tcPr>
            <w:tcW w:type="dxa" w:w="65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What changed</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6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6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6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6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6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How I plan to use this</w:t>
            </w:r>
          </w:p>
          <w:p>
            <w:r>
              <w:rPr>
                <w:rFonts w:ascii="Arial" w:cs="Arial" w:eastAsia="Arial" w:hAnsi="Arial"/>
                <w:sz w:val="22"/>
                <w:szCs w:val="22"/>
              </w:rPr>
              <w:t xml:space="preserve">My read is the readiness package isn't finished when we send it — it's a starting point. After every meaningful interaction with HomeFront Brands, I'll capture what we learned here. Before we move to the next P1, we'll review what worked and what didn't, and bring those lessons forward. The team's tribal knowledge fills in the gaps that research couldn't.</w:t>
            </w:r>
          </w:p>
        </w:tc>
      </w:tr>
    </w:tbl>
    <w:p>
      <w:pPr>
        <w:spacing w:after="80" w:before="200"/>
        <w:jc w:val="center"/>
      </w:pPr>
      <w:r>
        <w:rPr>
          <w:rFonts w:ascii="Arial" w:cs="Arial" w:eastAsia="Arial" w:hAnsi="Arial"/>
          <w:i/>
          <w:iCs/>
          <w:color w:val="888780"/>
          <w:sz w:val="18"/>
          <w:szCs w:val="18"/>
        </w:rPr>
        <w:t xml:space="preserve">— End of document —</w:t>
      </w:r>
    </w:p>
    <w:p>
      <w:pPr>
        <w:spacing w:after="40" w:before="40"/>
        <w:jc w:val="center"/>
      </w:pPr>
      <w:r>
        <w:rPr>
          <w:rFonts w:ascii="Arial" w:cs="Arial" w:eastAsia="Arial" w:hAnsi="Arial"/>
          <w:i/>
          <w:iCs/>
          <w:color w:val="888780"/>
          <w:sz w:val="16"/>
          <w:szCs w:val="16"/>
        </w:rPr>
        <w:t xml:space="preserve">Velocity GTM Co LLC  ·  HomeFront Brands GTM Engagement Readiness  ·  April 24,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6"/>
        <w:szCs w:val="16"/>
      </w:rPr>
      <w:t xml:space="preserve">Velocity GTM Co LLC  ·  April 24, 2026  ·  Page </w:t>
    </w:r>
    <w:r>
      <w:rPr>
        <w:rFonts w:ascii="Arial" w:cs="Arial" w:eastAsia="Arial" w:hAnsi="Arial"/>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780"/>
        <w:sz w:val="16"/>
        <w:szCs w:val="16"/>
      </w:rPr>
      <w:t xml:space="preserve">HOMEFRONT BRANDS · GTM ENGAGEMENT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B3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85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HomeFront Brands — GTM Engagement Readiness</dc:title>
  <dc:creator>Velocity GTM Co LLC</dc:creator>
  <cp:lastModifiedBy>Un-named</cp:lastModifiedBy>
  <cp:revision>1</cp:revision>
  <dcterms:created xsi:type="dcterms:W3CDTF">2026-04-27T19:00:08.223Z</dcterms:created>
  <dcterms:modified xsi:type="dcterms:W3CDTF">2026-04-27T19:00:08.224Z</dcterms:modified>
</cp:coreProperties>
</file>

<file path=docProps/custom.xml><?xml version="1.0" encoding="utf-8"?>
<Properties xmlns="http://schemas.openxmlformats.org/officeDocument/2006/custom-properties" xmlns:vt="http://schemas.openxmlformats.org/officeDocument/2006/docPropsVTypes"/>
</file>