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A2B3C"/>
          <w:sz w:val="44"/>
          <w:szCs w:val="44"/>
        </w:rPr>
        <w:t xml:space="preserve">NEIGHBORLY</w:t>
      </w:r>
    </w:p>
    <w:p>
      <w:pPr>
        <w:spacing w:after="60" w:before="0"/>
        <w:jc w:val="center"/>
      </w:pPr>
      <w:r>
        <w:rPr>
          <w:rFonts w:ascii="Arial" w:cs="Arial" w:eastAsia="Arial" w:hAnsi="Arial"/>
          <w:b/>
          <w:bCs/>
          <w:color w:val="185FA5"/>
          <w:sz w:val="28"/>
          <w:szCs w:val="28"/>
        </w:rPr>
        <w:t xml:space="preserve">GTM Engagement Readiness</w:t>
      </w:r>
    </w:p>
    <w:p>
      <w:pPr>
        <w:spacing w:after="60" w:before="0"/>
        <w:jc w:val="center"/>
      </w:pPr>
      <w:r>
        <w:rPr>
          <w:rFonts w:ascii="Arial" w:cs="Arial" w:eastAsia="Arial" w:hAnsi="Arial"/>
          <w:b/>
          <w:bCs/>
          <w:color w:val="A32D2D"/>
          <w:sz w:val="22"/>
          <w:szCs w:val="22"/>
        </w:rPr>
        <w:t xml:space="preserve">Rank #1 · PE-GATED · Score 76.5</w:t>
      </w:r>
    </w:p>
    <w:p>
      <w:pPr>
        <w:spacing w:after="240" w:before="0"/>
        <w:jc w:val="center"/>
      </w:pPr>
      <w:r>
        <w:rPr>
          <w:rFonts w:ascii="Arial" w:cs="Arial" w:eastAsia="Arial" w:hAnsi="Arial"/>
          <w:i/>
          <w:iCs/>
          <w:color w:val="888780"/>
          <w:sz w:val="20"/>
          <w:szCs w:val="20"/>
        </w:rPr>
        <w:t xml:space="preserve">KKR warm path live · largest tech base in P1 · FSM-only play (Smart Fleet blocks GPSI)</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My read on this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AEEDA"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Neighborly sits at rank #1</w:t>
            </w:r>
          </w:p>
          <w:p>
            <w:r>
              <w:rPr>
                <w:rFonts w:ascii="Arial" w:cs="Arial" w:eastAsia="Arial" w:hAnsi="Arial"/>
                <w:sz w:val="22"/>
                <w:szCs w:val="22"/>
              </w:rPr>
              <w:t xml:space="preserve">My read is Neighborly is the most engagement-ready target in our P1 set. They are publicly stating exactly the buying behavior we want. Their own September 2025 announcement says new CIO Sinha is leading 'Neighborly's shift from primarily building systems in-house to adopting and integrating best-in-class platforms.' That is a published franchisor statement that the build-vs-buy debate is already settled. Sinha came from Bloomin' Brands CIO + Inspire Brands SVP IT (Dunkin'/Arby's/BWW/Sonic — 31,000+ restaurants). Atlanta-based. Harvard MBA. CEO Mike Davis (since July 2024) is publicly aligned — his stated ethos is 'Fanatical customer engagement, tied to AI, marketing, the call center, and franchisee training. Making Fans is our north star.' At 13,259 techs — 2.5x the Empower tech base — Neighborly is the revenue anchor of P1.  KKR-owned, with warm paths to Felix Gernburd and Chairman David Brandon. Smart Fleet/Azuga blocks our GPSI bundle, so this is an FSM-only pitch.</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Where I'd land it</w:t>
      </w:r>
    </w:p>
    <w:p>
      <w:pPr>
        <w:pStyle w:val="ListParagraph"/>
        <w:numPr>
          <w:ilvl w:val="0"/>
          <w:numId w:val="2"/>
        </w:numPr>
        <w:spacing w:after="40" w:before="40"/>
      </w:pPr>
      <w:r>
        <w:rPr>
          <w:rFonts w:ascii="Arial" w:cs="Arial" w:eastAsia="Arial" w:hAnsi="Arial"/>
          <w:sz w:val="22"/>
          <w:szCs w:val="22"/>
        </w:rPr>
        <w:t xml:space="preserve">Largest addressable network in our P1 set. FSM-only pitch gets us to $397K Year 1 ARR @ 10% baseline / $992K @ 25% stretch.</w:t>
      </w:r>
    </w:p>
    <w:p>
      <w:pPr>
        <w:pStyle w:val="ListParagraph"/>
        <w:numPr>
          <w:ilvl w:val="0"/>
          <w:numId w:val="2"/>
        </w:numPr>
        <w:spacing w:after="40" w:before="40"/>
      </w:pPr>
      <w:r>
        <w:rPr>
          <w:rFonts w:ascii="Arial" w:cs="Arial" w:eastAsia="Arial" w:hAnsi="Arial"/>
          <w:sz w:val="22"/>
          <w:szCs w:val="22"/>
        </w:rPr>
        <w:t xml:space="preserve">Sinha's stated focus areas — AI lead management, customer engagement, call center operations — map directly to ServiceBridge value props. Mirror his language exactly.</w:t>
      </w:r>
    </w:p>
    <w:p>
      <w:pPr>
        <w:pStyle w:val="ListParagraph"/>
        <w:numPr>
          <w:ilvl w:val="0"/>
          <w:numId w:val="2"/>
        </w:numPr>
        <w:spacing w:after="40" w:before="40"/>
      </w:pPr>
      <w:r>
        <w:rPr>
          <w:rFonts w:ascii="Arial" w:cs="Arial" w:eastAsia="Arial" w:hAnsi="Arial"/>
          <w:sz w:val="22"/>
          <w:szCs w:val="22"/>
        </w:rPr>
        <w:t xml:space="preserve">Davis's 'Making Fans' north star is a customer experience thesis. ServiceBridge-enabled franchisee operations directly produce that.</w:t>
      </w:r>
    </w:p>
    <w:p>
      <w:pPr>
        <w:pStyle w:val="ListParagraph"/>
        <w:numPr>
          <w:ilvl w:val="0"/>
          <w:numId w:val="2"/>
        </w:numPr>
        <w:spacing w:after="40" w:before="40"/>
      </w:pPr>
      <w:r>
        <w:rPr>
          <w:rFonts w:ascii="Arial" w:cs="Arial" w:eastAsia="Arial" w:hAnsi="Arial"/>
          <w:sz w:val="22"/>
          <w:szCs w:val="22"/>
        </w:rPr>
        <w:t xml:space="preserve">KKR warm path through Felix Gernburd and Chairman David Brandon is the highest-leverage move on this one.</w:t>
      </w:r>
    </w:p>
    <w:p>
      <w:pPr>
        <w:pStyle w:val="ListParagraph"/>
        <w:numPr>
          <w:ilvl w:val="0"/>
          <w:numId w:val="2"/>
        </w:numPr>
        <w:spacing w:after="40" w:before="40"/>
      </w:pPr>
      <w:r>
        <w:rPr>
          <w:rFonts w:ascii="Arial" w:cs="Arial" w:eastAsia="Arial" w:hAnsi="Arial"/>
          <w:sz w:val="22"/>
          <w:szCs w:val="22"/>
        </w:rPr>
        <w:t xml:space="preserve">Founder CEO Mike Bidwell passed in September 2023 — tone awareness is important in any engagement.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What we know — with sources</w:t>
      </w:r>
    </w:p>
    <w:p>
      <w:pPr>
        <w:spacing w:after="80" w:before="80"/>
      </w:pPr>
      <w:r>
        <w:rPr>
          <w:rFonts w:ascii="Arial" w:cs="Arial" w:eastAsia="Arial" w:hAnsi="Arial"/>
          <w:sz w:val="22"/>
          <w:szCs w:val="22"/>
        </w:rPr>
        <w:t xml:space="preserve">Core data points with confidence level, source, and verification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1400"/>
        <w:gridCol w:w="2000"/>
        <w:gridCol w:w="960"/>
      </w:tblGrid>
      <w:tr>
        <w:trPr>
          <w:tblHeader/>
        </w:trPr>
        <w:tc>
          <w:tcPr>
            <w:tcW w:type="dxa" w:w="2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Data Point</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Value</w:t>
            </w:r>
          </w:p>
        </w:tc>
        <w:tc>
          <w:tcPr>
            <w:tcW w:type="dxa" w:w="1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Confidence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c>
          <w:tcPr>
            <w:tcW w:type="dxa" w:w="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Verified</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brands (NA active)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19 / 30+ global</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Portfolio pages + Mr. Rooter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Total franchises (NA)</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5,500+</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Neighborly corporate</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Mr. Rooter US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229</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Mr. Rooter 2025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Molly Maid US locations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448</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Molly Maid 2025 FDD</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Aire Serv franchised units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208</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2025 FDD summary</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Fleet/telematics mandate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Smart Fleet USA / Azuga</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Engagement research</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PE owner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KKR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KKR 2021 acquisition</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CEO</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Mike Davis (July 2024)</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Neighborly 2024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CIO (FSM decision-maker)</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Gagan Sinha (Sept 2025)</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Neighborly 2025 PR</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Chairman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David Brandon (KKR Advisor)</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Investor materials</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Warm path via GPSI team</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Gernburd + Brandon</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Engagement memory</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24</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GPO Status</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Yes — ProTradeNet</w:t>
            </w:r>
          </w:p>
        </w:tc>
        <w:tc>
          <w:tcPr>
            <w:tcW w:type="dxa" w:w="1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8"/>
                <w:szCs w:val="18"/>
              </w:rPr>
              <w:t xml:space="preserve">🟢 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Neighborly press releases, ProTradeNet 2023 disclosures ($107M)</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Consumer/Commercial mix</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Consumer 80%</w:t>
            </w:r>
          </w:p>
        </w:tc>
        <w:tc>
          <w:tcPr>
            <w:tcW w:type="dxa" w:w="1400"/>
            <w:tcBorders>
              <w:top w:val="single" w:color="CCCCCC" w:sz="4"/>
              <w:left w:val="single" w:color="CCCCCC" w:sz="4"/>
              <w:bottom w:val="single" w:color="CCCCCC" w:sz="4"/>
              <w:right w:val="single" w:color="CCCCCC" w:sz="4"/>
            </w:tcBorders>
            <w:shd w:fill="E8F4F4" w:val="clear"/>
            <w:tcMar>
              <w:top w:type="dxa" w:w="80"/>
              <w:left w:type="dxa" w:w="120"/>
              <w:bottom w:type="dxa" w:w="80"/>
              <w:right w:type="dxa" w:w="120"/>
            </w:tcMar>
          </w:tcPr>
          <w:p>
            <w:pPr>
              <w:jc w:val="center"/>
            </w:pPr>
            <w:r>
              <w:rPr>
                <w:rFonts w:ascii="Arial" w:cs="Arial" w:eastAsia="Arial" w:hAnsi="Arial"/>
                <w:b/>
                <w:bCs/>
                <w:i w:val="false"/>
                <w:iCs w:val="false"/>
                <w:color w:val="0F4C5C"/>
                <w:sz w:val="18"/>
                <w:szCs w:val="18"/>
              </w:rPr>
              <w:t xml:space="preserve">🟡 INDUSTRY_VERIFIED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Brand portfolio analysis — "world's largest home services company"</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r>
        <w:tc>
          <w:tcPr>
            <w:tcW w:type="dxa" w:w="2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Telematics Solution</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color w:val="1A2B3C"/>
                <w:sz w:val="18"/>
                <w:szCs w:val="18"/>
              </w:rPr>
              <w:t xml:space="preserve">TBD — GPSI sales team to validate</w:t>
            </w:r>
          </w:p>
        </w:tc>
        <w:tc>
          <w:tcPr>
            <w:tcW w:type="dxa" w:w="1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55555"/>
                <w:sz w:val="18"/>
                <w:szCs w:val="18"/>
              </w:rPr>
              <w:t xml:space="preserve">⚪ ESTIMATED</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GPS Insight customer database — pending sales team review</w:t>
            </w:r>
          </w:p>
        </w:tc>
        <w:tc>
          <w:tcPr>
            <w:tcW w:type="dxa" w:w="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6"/>
                <w:szCs w:val="16"/>
              </w:rPr>
              <w:t xml:space="preserve">Apr 28</w:t>
            </w:r>
          </w:p>
        </w:tc>
      </w:tr>
    </w:tbl>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How we got to this tech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Honest framing: this is a vertical-calibrated mid-point estimate, not verified headcount</w:t>
            </w:r>
          </w:p>
          <w:p>
            <w:r>
              <w:rPr>
                <w:rFonts w:ascii="Arial" w:cs="Arial" w:eastAsia="Arial" w:hAnsi="Arial"/>
                <w:sz w:val="22"/>
                <w:szCs w:val="22"/>
              </w:rPr>
              <w:t xml:space="preserve">Neighborly has 30+ brands across plumbing (Mr. Rooter), HVAC (Aire Serv), cleaning (Molly Maid), pest (Mosquito Joe), property management, electrical, appliance repair, etc. Total network is ~5,500-6,000 locations across all brands. Wide range because the brand mix is so varied — cleaning runs 2-3 staff per franchisee, plumbing 6-10 techs per franchisee, pest 3-5. FDDs do not typically disclose techs-per-franchisee — Item 20 lists locations, Item 19 lists financials, but average headcount is not a standard disclosure. So our 13,259 mid-point for Neighborly is anchored on what's reasonable given the brand mix, but the actual number could land anywhere in the range below. Marketing teammates likely have direct headcount data through operator surveys, regional meeting reports, or franchisee scorecards that would tighten this from ESTIMATED to VERIFIED.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Range and corresponding Year 1 ARR @ 10%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380"/>
        <w:gridCol w:w="2380"/>
      </w:tblGrid>
      <w:tr>
        <w:trPr>
          <w:tblHeader/>
        </w:trPr>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Scenario</w:t>
            </w:r>
          </w:p>
        </w:tc>
        <w:tc>
          <w:tcPr>
            <w:tcW w:type="dxa" w:w="23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 count</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10%</w:t>
            </w:r>
          </w:p>
        </w:tc>
        <w:tc>
          <w:tcPr>
            <w:tcW w:type="dxa" w:w="23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Y1 ARR @ 25%</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Low (conservative)</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11,000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$329,340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$823,350</w:t>
            </w:r>
          </w:p>
        </w:tc>
      </w:tr>
      <w:tr>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8"/>
                <w:szCs w:val="18"/>
              </w:rPr>
              <w:t xml:space="preserve">Mid (our headline)</w:t>
            </w:r>
          </w:p>
        </w:tc>
        <w:tc>
          <w:tcPr>
            <w:tcW w:type="dxa" w:w="23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13,259</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$396,974</w:t>
            </w:r>
          </w:p>
        </w:tc>
        <w:tc>
          <w:tcPr>
            <w:tcW w:type="dxa" w:w="23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$992,436</w:t>
            </w:r>
          </w:p>
        </w:tc>
      </w:tr>
      <w:tr>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7"/>
                <w:szCs w:val="17"/>
              </w:rPr>
              <w:t xml:space="preserve">High (stretch)</w:t>
            </w:r>
          </w:p>
        </w:tc>
        <w:tc>
          <w:tcPr>
            <w:tcW w:type="dxa" w:w="23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16,000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$479,040</w:t>
            </w:r>
          </w:p>
        </w:tc>
        <w:tc>
          <w:tcPr>
            <w:tcW w:type="dxa" w:w="23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color w:val="888780"/>
                <w:sz w:val="18"/>
                <w:szCs w:val="18"/>
              </w:rPr>
              <w:t xml:space="preserve">$1,197,600</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Headline numbers throughout this package run off the mid-point. The low/high band is the honest defensive context — if a CFO asks how confident we are in 13,259 techs, the answer is "vertical-calibrated mid-point; range is 11,000-16,000 depending on actual tech-per-location at the brand mix; Marketing teammates have the real headcount data to tighten this." Reads honest, not defensive.</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PE exit math &amp; ROI — what we bring to the franchisor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matters to PE in one sentence</w:t>
            </w:r>
          </w:p>
          <w:p>
            <w:r>
              <w:rPr>
                <w:rFonts w:ascii="Arial" w:cs="Arial" w:eastAsia="Arial" w:hAnsi="Arial"/>
                <w:sz w:val="22"/>
                <w:szCs w:val="22"/>
              </w:rPr>
              <w:t xml:space="preserve">Every $1 of franchisee-level EBITDA improvement converts to $10–14 of enterprise value at PE exit. A franchisor-funded FSM platform that costs $0.25 per $1 of EBITDA added delivers 40–50x ROI on invested capital over a typical hold period.</w:t>
            </w:r>
          </w:p>
        </w:tc>
      </w:tr>
    </w:tbl>
    <w:p>
      <w:pPr>
        <w:pStyle w:val="Heading2"/>
        <w:spacing w:after="140" w:before="280"/>
      </w:pPr>
      <w:r>
        <w:rPr>
          <w:rFonts w:ascii="Arial" w:cs="Arial" w:eastAsia="Arial" w:hAnsi="Arial"/>
          <w:b/>
          <w:bCs/>
          <w:color w:val="185FA5"/>
          <w:sz w:val="26"/>
          <w:szCs w:val="26"/>
        </w:rPr>
        <w:t xml:space="preserve">The exit multiple math</w:t>
      </w:r>
    </w:p>
    <w:p>
      <w:pPr>
        <w:spacing w:after="80" w:before="80"/>
      </w:pPr>
      <w:r>
        <w:rPr>
          <w:rFonts w:ascii="Arial" w:cs="Arial" w:eastAsia="Arial" w:hAnsi="Arial"/>
          <w:sz w:val="22"/>
          <w:szCs w:val="22"/>
        </w:rPr>
        <w:t xml:space="preserve">Home services franchisor exits consistently price at tech-enabled multiples: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3000"/>
        <w:gridCol w:w="2860"/>
      </w:tblGrid>
      <w:tr>
        <w:trPr>
          <w:tblHeader/>
        </w:trPr>
        <w:tc>
          <w:tcPr>
            <w:tcW w:type="dxa" w:w="3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Exit Category</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EBITDA Multiple Range</w:t>
            </w:r>
          </w:p>
        </w:tc>
        <w:tc>
          <w:tcPr>
            <w:tcW w:type="dxa" w:w="28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Source</w:t>
            </w:r>
          </w:p>
        </w:tc>
      </w:tr>
      <w:tr>
        <w:tc>
          <w:tcPr>
            <w:tcW w:type="dxa" w:w="3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Established home services</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8–12x EBITDA</w:t>
            </w:r>
          </w:p>
        </w:tc>
        <w:tc>
          <w:tcPr>
            <w:tcW w:type="dxa" w:w="28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GF Data · PitchBook · industry benchmarks</w:t>
            </w:r>
          </w:p>
        </w:tc>
      </w:tr>
      <w:tr>
        <w:tc>
          <w:tcPr>
            <w:tcW w:type="dxa" w:w="35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Tech-enabled home services</w:t>
            </w:r>
          </w:p>
        </w:tc>
        <w:tc>
          <w:tcPr>
            <w:tcW w:type="dxa" w:w="30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10–14x EBITDA</w:t>
            </w:r>
          </w:p>
        </w:tc>
        <w:tc>
          <w:tcPr>
            <w:tcW w:type="dxa" w:w="28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iCs/>
                <w:color w:val="27500A"/>
                <w:sz w:val="16"/>
                <w:szCs w:val="16"/>
              </w:rPr>
              <w:t xml:space="preserve">Higher for proven tech-enabled platforms</w:t>
            </w:r>
          </w:p>
        </w:tc>
      </w:tr>
      <w:tr>
        <w:tc>
          <w:tcPr>
            <w:tcW w:type="dxa" w:w="35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Value creation breakdown (PE-era)</w:t>
            </w:r>
          </w:p>
        </w:tc>
        <w:tc>
          <w:tcPr>
            <w:tcW w:type="dxa" w:w="30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val="false"/>
                <w:bCs w:val="false"/>
                <w:i w:val="false"/>
                <w:iCs w:val="false"/>
                <w:sz w:val="16"/>
                <w:szCs w:val="16"/>
              </w:rPr>
              <w:t xml:space="preserve">32% multiple expansion · 54% VCI</w:t>
            </w:r>
          </w:p>
        </w:tc>
        <w:tc>
          <w:tcPr>
            <w:tcW w:type="dxa" w:w="28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iCs/>
                <w:color w:val="888780"/>
                <w:sz w:val="16"/>
                <w:szCs w:val="16"/>
              </w:rPr>
              <w:t xml:space="preserve">McKinsey / Bain PE value-creation studies</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595959"/>
          <w:sz w:val="22"/>
          <w:szCs w:val="22"/>
        </w:rPr>
        <w:t xml:space="preserve">VCI = Value Creation Initiatives. FSM platform consolidation is a textbook VCI — directly improves franchisee unit economics, which flows through to franchisor royalty economics, which is what the PE buyer is paying for.</w:t>
      </w:r>
    </w:p>
    <w:p>
      <w:pPr>
        <w:pStyle w:val="Heading2"/>
        <w:spacing w:after="140" w:before="280"/>
      </w:pPr>
      <w:r>
        <w:rPr>
          <w:rFonts w:ascii="Arial" w:cs="Arial" w:eastAsia="Arial" w:hAnsi="Arial"/>
          <w:b/>
          <w:bCs/>
          <w:color w:val="185FA5"/>
          <w:sz w:val="26"/>
          <w:szCs w:val="26"/>
        </w:rPr>
        <w:t xml:space="preserve">Neighborly — franchisor-level ROI model</w:t>
      </w:r>
    </w:p>
    <w:p>
      <w:pPr>
        <w:spacing w:after="80" w:before="80"/>
      </w:pPr>
      <w:r>
        <w:rPr>
          <w:rFonts w:ascii="Arial" w:cs="Arial" w:eastAsia="Arial" w:hAnsi="Arial"/>
          <w:sz w:val="22"/>
          <w:szCs w:val="22"/>
        </w:rPr>
        <w:t xml:space="preserve">The model is straightforward — if ServiceBridge is adopted across Neighborly's network, what does that do to Neighborly's exit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Variable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Assumption</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Math</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Franchisee EBITDA improvement from FSM</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$8K/tech/year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Route efficiency · job density · billing capture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Network tech base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13,259 techs</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Vertical-calibrated from brand FDDs (Mr. Rooter 229, Molly Maid 448, Aire Serv 208, etc.)</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Buy-in rate assumed</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10% (working baseline)</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Conservative Phase 1-2 starting assumption</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Network EBITDA improvement</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$10.61M/yr</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iCs/>
                <w:color w:val="27500A"/>
                <w:sz w:val="16"/>
                <w:szCs w:val="16"/>
              </w:rPr>
              <w:t xml:space="preserve">13,259 × 10% × $8K</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Royalty pass-through (~6%)</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color w:val="1A2B3C"/>
                <w:sz w:val="20"/>
                <w:szCs w:val="20"/>
              </w:rPr>
              <w:t xml:space="preserve">$0.64M/yr</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iCs/>
                <w:color w:val="888780"/>
                <w:sz w:val="16"/>
                <w:szCs w:val="16"/>
              </w:rPr>
              <w:t xml:space="preserve">Typical franchisor royalty rate</w:t>
            </w:r>
          </w:p>
        </w:tc>
      </w:tr>
      <w:tr>
        <w:tc>
          <w:tcPr>
            <w:tcW w:type="dxa" w:w="320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Exit multiple applied (12x)</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bCs/>
                <w:i w:val="false"/>
                <w:iCs w:val="false"/>
                <w:color w:val="633806"/>
                <w:sz w:val="22"/>
                <w:szCs w:val="22"/>
              </w:rPr>
              <w:t xml:space="preserve">$7.64M</w:t>
            </w:r>
          </w:p>
        </w:tc>
        <w:tc>
          <w:tcPr>
            <w:tcW w:type="dxa" w:w="3080"/>
            <w:tcBorders>
              <w:top w:val="single" w:color="CCCCCC" w:sz="4"/>
              <w:left w:val="single" w:color="CCCCCC" w:sz="4"/>
              <w:bottom w:val="single" w:color="CCCCCC" w:sz="4"/>
              <w:right w:val="single" w:color="CCCCCC" w:sz="4"/>
            </w:tcBorders>
            <w:shd w:fill="FAEEDA" w:val="clear"/>
            <w:tcMar>
              <w:top w:type="dxa" w:w="80"/>
              <w:left w:type="dxa" w:w="120"/>
              <w:bottom w:type="dxa" w:w="80"/>
              <w:right w:type="dxa" w:w="120"/>
            </w:tcMar>
          </w:tcPr>
          <w:p>
            <w:pPr>
              <w:jc w:val="center"/>
            </w:pPr>
            <w:r>
              <w:rPr>
                <w:rFonts w:ascii="Arial" w:cs="Arial" w:eastAsia="Arial" w:hAnsi="Arial"/>
                <w:b w:val="false"/>
                <w:bCs w:val="false"/>
                <w:i/>
                <w:iCs/>
                <w:color w:val="633806"/>
                <w:sz w:val="16"/>
                <w:szCs w:val="16"/>
              </w:rPr>
              <w:t xml:space="preserve">Franchisor-level exit value add</w:t>
            </w:r>
          </w:p>
        </w:tc>
      </w:tr>
      <w:tr>
        <w:tc>
          <w:tcPr>
            <w:tcW w:type="dxa" w:w="320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left"/>
            </w:pPr>
            <w:r>
              <w:rPr>
                <w:rFonts w:ascii="Arial" w:cs="Arial" w:eastAsia="Arial" w:hAnsi="Arial"/>
                <w:b/>
                <w:bCs/>
                <w:i w:val="false"/>
                <w:iCs w:val="false"/>
                <w:color w:val="FFFFFF"/>
                <w:sz w:val="20"/>
                <w:szCs w:val="20"/>
              </w:rPr>
              <w:t xml:space="preserve">Direct franchisee-level exit (10x)</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bCs/>
                <w:i w:val="false"/>
                <w:iCs w:val="false"/>
                <w:color w:val="FFFFFF"/>
                <w:sz w:val="22"/>
                <w:szCs w:val="22"/>
              </w:rPr>
              <w:t xml:space="preserve">$106.1M</w:t>
            </w:r>
          </w:p>
        </w:tc>
        <w:tc>
          <w:tcPr>
            <w:tcW w:type="dxa" w:w="3080"/>
            <w:tcBorders>
              <w:top w:val="single" w:color="CCCCCC" w:sz="4"/>
              <w:left w:val="single" w:color="CCCCCC" w:sz="4"/>
              <w:bottom w:val="single" w:color="CCCCCC" w:sz="4"/>
              <w:right w:val="single" w:color="CCCCCC" w:sz="4"/>
            </w:tcBorders>
            <w:shd w:fill="185FA5" w:val="clear"/>
            <w:tcMar>
              <w:top w:type="dxa" w:w="80"/>
              <w:left w:type="dxa" w:w="120"/>
              <w:bottom w:type="dxa" w:w="80"/>
              <w:right w:type="dxa" w:w="120"/>
            </w:tcMar>
          </w:tcPr>
          <w:p>
            <w:pPr>
              <w:jc w:val="center"/>
            </w:pPr>
            <w:r>
              <w:rPr>
                <w:rFonts w:ascii="Arial" w:cs="Arial" w:eastAsia="Arial" w:hAnsi="Arial"/>
                <w:b w:val="false"/>
                <w:bCs w:val="false"/>
                <w:i/>
                <w:iCs/>
                <w:color w:val="FFFFFF"/>
                <w:sz w:val="16"/>
                <w:szCs w:val="16"/>
              </w:rPr>
              <w:t xml:space="preserve">Franchisee network enterprise value lift</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ServiceBridge asks for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80"/>
        <w:gridCol w:w="3080"/>
      </w:tblGrid>
      <w:tr>
        <w:trPr>
          <w:tblHeader/>
        </w:trPr>
        <w:tc>
          <w:tcPr>
            <w:tcW w:type="dxa" w:w="3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Year</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Investment @ 10% buy-in (baseline)</w:t>
            </w:r>
          </w:p>
        </w:tc>
        <w:tc>
          <w:tcPr>
            <w:tcW w:type="dxa" w:w="30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Cumulative</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1</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$396,974</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$396,974</w:t>
            </w:r>
          </w:p>
        </w:tc>
      </w:tr>
      <w:tr>
        <w:tc>
          <w:tcPr>
            <w:tcW w:type="dxa" w:w="3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2</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$396,974</w:t>
            </w:r>
          </w:p>
        </w:tc>
        <w:tc>
          <w:tcPr>
            <w:tcW w:type="dxa" w:w="30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$793,948</w:t>
            </w:r>
          </w:p>
        </w:tc>
      </w:tr>
      <w:tr>
        <w:tc>
          <w:tcPr>
            <w:tcW w:type="dxa" w:w="3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Year 3</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$396,974</w:t>
            </w:r>
          </w:p>
        </w:tc>
        <w:tc>
          <w:tcPr>
            <w:tcW w:type="dxa" w:w="308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$1,190,922</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Stretch case for context: at 25% buy-in, Year 1 ARR jumps to $992,436 and 3-year cumulative reaches $2,977,308. We don't lead with this — 10% is our working baseline. 25% is what the math becomes if early wins compound.</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The ratio that lands this with PE</w:t>
            </w:r>
          </w:p>
          <w:p>
            <w:r>
              <w:rPr>
                <w:rFonts w:ascii="Arial" w:cs="Arial" w:eastAsia="Arial" w:hAnsi="Arial"/>
                <w:sz w:val="22"/>
                <w:szCs w:val="22"/>
              </w:rPr>
              <w:t xml:space="preserve">At 10% buy-in for Neighborly — our conservative working baseline — franchisee-level exit value creation is ~$106M (10% penetration × $8K/tech EBITDA × 10x multiple). 3-year cumulative ServiceBridge investment is ~$1190.92K at 10% buy-in. The ratio of value created to platform cost is roughly 89x. This is the arithmetic that franchisor CFOs and PE operating partners use to evaluate platform initiatives — and 10% is intentionally the floor we set the conversation at, not the ceiling.</w:t>
            </w:r>
          </w:p>
        </w:tc>
      </w:tr>
    </w:tbl>
    <w:p>
      <w:pPr>
        <w:spacing w:after="100" w:before="200"/>
      </w:pPr>
      <w:r>
        <w:rPr>
          <w:rFonts w:ascii="Arial" w:cs="Arial" w:eastAsia="Arial" w:hAnsi="Arial"/>
          <w:b/>
          <w:bCs/>
          <w:color w:val="1A2B3C"/>
          <w:sz w:val="22"/>
          <w:szCs w:val="22"/>
        </w:rPr>
        <w:t xml:space="preserve">How the math shifts with adoption</w:t>
      </w:r>
    </w:p>
    <w:p>
      <w:pPr>
        <w:spacing w:after="80" w:before="80"/>
      </w:pPr>
      <w:r>
        <w:rPr>
          <w:rFonts w:ascii="Arial" w:cs="Arial" w:eastAsia="Arial" w:hAnsi="Arial"/>
          <w:sz w:val="22"/>
          <w:szCs w:val="22"/>
        </w:rPr>
        <w:t xml:space="preserve">At different network penetration rates, the franchisee-level exit value created by a Neighborly ServiceBridge rollout scales: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Buy-in rate</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Techs adopting</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Network EBITDA lift</w:t>
            </w:r>
          </w:p>
        </w:tc>
        <w:tc>
          <w:tcPr>
            <w:tcW w:type="dxa" w:w="234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Franchisee exit value (10x)</w:t>
            </w:r>
          </w:p>
        </w:tc>
      </w:tr>
      <w:tr>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10% (working baseline)</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1,326</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$10.6M</w:t>
            </w:r>
          </w:p>
        </w:tc>
        <w:tc>
          <w:tcPr>
            <w:tcW w:type="dxa" w:w="234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$106M</w:t>
            </w:r>
          </w:p>
        </w:tc>
      </w:tr>
      <w:tr>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25% (stretch case)</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val="false"/>
                <w:bCs w:val="false"/>
                <w:i w:val="false"/>
                <w:iCs w:val="false"/>
                <w:sz w:val="20"/>
                <w:szCs w:val="20"/>
              </w:rPr>
              <w:t xml:space="preserve">3,315</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sz w:val="20"/>
                <w:szCs w:val="20"/>
              </w:rPr>
              <w:t xml:space="preserve">$26.5M</w:t>
            </w:r>
          </w:p>
        </w:tc>
        <w:tc>
          <w:tcPr>
            <w:tcW w:type="dxa" w:w="234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2"/>
                <w:szCs w:val="22"/>
              </w:rPr>
              <w:t xml:space="preserve">$265M</w:t>
            </w:r>
          </w:p>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How we engage</w:t>
      </w:r>
    </w:p>
    <w:p>
      <w:pPr>
        <w:pStyle w:val="Heading2"/>
        <w:spacing w:after="140" w:before="280"/>
      </w:pPr>
      <w:r>
        <w:rPr>
          <w:rFonts w:ascii="Arial" w:cs="Arial" w:eastAsia="Arial" w:hAnsi="Arial"/>
          <w:b/>
          <w:bCs/>
          <w:color w:val="185FA5"/>
          <w:sz w:val="26"/>
          <w:szCs w:val="26"/>
        </w:rPr>
        <w:t xml:space="preserve">Engagement urgency assessment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URGENCY SCORE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TIME-TO-ENGAGE</w:t>
            </w:r>
          </w:p>
        </w:tc>
        <w:tc>
          <w:tcPr>
            <w:tcW w:type="dxa" w:w="312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STRATEGIC RANK</w:t>
            </w:r>
          </w:p>
        </w:tc>
      </w:tr>
      <w:tr>
        <w:tc>
          <w:tcPr>
            <w:tcW w:type="dxa" w:w="312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32"/>
                <w:szCs w:val="32"/>
              </w:rPr>
              <w:t xml:space="preserve">15 / 15</w:t>
            </w:r>
          </w:p>
        </w:tc>
        <w:tc>
          <w:tcPr>
            <w:tcW w:type="dxa" w:w="312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2"/>
                <w:szCs w:val="22"/>
              </w:rPr>
              <w:t xml:space="preserve">IMMEDIATE (Wks 1-4)</w:t>
            </w:r>
          </w:p>
        </w:tc>
        <w:tc>
          <w:tcPr>
            <w:tcW w:type="dxa" w:w="312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1A2B3C"/>
                <w:sz w:val="22"/>
                <w:szCs w:val="22"/>
              </w:rPr>
              <w:t xml:space="preserve">#2 of 7  (SCALE)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Why this urgency score — 5-signal breakdown</w:t>
      </w:r>
    </w:p>
    <w:tbl>
      <w:tblPr>
        <w:tblW w:type="dxa" w:w="12900"/>
        <w:tblBorders>
          <w:top w:val="single" w:color="auto" w:sz="4"/>
          <w:left w:val="single" w:color="auto" w:sz="4"/>
          <w:bottom w:val="single" w:color="auto" w:sz="4"/>
          <w:right w:val="single" w:color="auto" w:sz="4"/>
          <w:insideH w:val="single" w:color="auto" w:sz="4"/>
          <w:insideV w:val="single" w:color="auto" w:sz="4"/>
        </w:tblBorders>
      </w:tblPr>
      <w:tblGrid>
        <w:gridCol w:w="600"/>
        <w:gridCol w:w="2400"/>
        <w:gridCol w:w="900"/>
        <w:gridCol w:w="9000"/>
      </w:tblGrid>
      <w:tr>
        <w:trPr>
          <w:tblHeader/>
        </w:trPr>
        <w:tc>
          <w:tcPr>
            <w:tcW w:type="dxa" w:w="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Signal</w:t>
            </w:r>
          </w:p>
        </w:tc>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7"/>
                <w:szCs w:val="17"/>
              </w:rPr>
              <w:t xml:space="preserve">Score</w:t>
            </w:r>
          </w:p>
        </w:tc>
        <w:tc>
          <w:tcPr>
            <w:tcW w:type="dxa" w:w="9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Why this score</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Leadership transition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Sinha CIO Sept 2025 (came from Bloomin' Brands + Inspire Brands SVP IT) + Davis CEO Jul 2024. Full tech-direction transition window — every signal a vendor watches for.</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In-window event presence</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Davis + Bourgeois confirmed/expected at FCXC June 2-4 Atlanta. Bedi (Authority CTO) also at FCXC. Pre-FCXC meeting bookings actionable Wk 3-4.</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buying-mode signals</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Sinha's published quote is the strongest 'in market' signal in our P1 set: 'shift from primarily building systems in-house to adopting and integrating best-in-class platforms.' Davis's 'Making Fans' principle reinforces.</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Existing access vector</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KKR warm path via GPSI team → Felix Gernburd (KKR Partner) AND/OR David Brandon (KKR Advisor + Neighborly Executive Chairman). Highest-confidence path in entire P1 set.</w:t>
            </w:r>
          </w:p>
        </w:tc>
      </w:tr>
      <w:tr>
        <w:tc>
          <w:tcPr>
            <w:tcW w:type="dxa" w:w="6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val="false"/>
                <w:bCs w:val="false"/>
                <w:i w:val="false"/>
                <w:iCs w:val="false"/>
                <w:sz w:val="22"/>
                <w:szCs w:val="22"/>
              </w:rPr>
              <w:t xml:space="preserve">🟢</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Active vendor evaluation</w:t>
            </w:r>
          </w:p>
        </w:tc>
        <w:tc>
          <w:tcPr>
            <w:tcW w:type="dxa" w:w="9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20"/>
                <w:szCs w:val="20"/>
              </w:rPr>
              <w:t xml:space="preserve">3/3</w:t>
            </w:r>
          </w:p>
        </w:tc>
        <w:tc>
          <w:tcPr>
            <w:tcW w:type="dxa" w:w="9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Active FSM evaluation is in print (Sinha quote). Smart Fleet/Azuga is incumbent on telematics so this is FSM-only conversation, but the FSM evaluation door is explicitly open.</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What this means — first engagement actions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Where to start with Neighborly this week</w:t>
            </w:r>
          </w:p>
          <w:p>
            <w:r>
              <w:rPr>
                <w:rFonts w:ascii="Arial" w:cs="Arial" w:eastAsia="Arial" w:hAnsi="Arial"/>
                <w:sz w:val="22"/>
                <w:szCs w:val="22"/>
              </w:rPr>
              <w:t xml:space="preserve">Neighborly is the most engagement-ready target in the P1 set — every urgency signal at maximum. The single most important Phase 1 action is the KKR warm path activation in Wk 1, because it has the longest activation lag (3-4 weeks to land before FCXC).</w:t>
            </w:r>
          </w:p>
        </w:tc>
      </w:tr>
    </w:tbl>
    <w:p>
      <w:pPr>
        <w:spacing w:after="80" w:before="80"/>
      </w:pPr>
      <w:r>
        <w:rPr>
          <w:rFonts w:ascii="Arial" w:cs="Arial" w:eastAsia="Arial" w:hAnsi="Arial"/>
          <w:b w:val="false"/>
          <w:bCs w:val="false"/>
          <w:sz w:val="22"/>
          <w:szCs w:val="22"/>
        </w:rPr>
        <w:t xml:space="preserve">1. Wk 1: Mike + GPSI team 30-min focused session — confirm relationships with Gernburd and Brandon are current, draft one-paragraph intro request, target sending by end of Wk 2.</w:t>
      </w:r>
    </w:p>
    <w:p>
      <w:pPr>
        <w:spacing w:after="80" w:before="80"/>
      </w:pPr>
      <w:r>
        <w:rPr>
          <w:rFonts w:ascii="Arial" w:cs="Arial" w:eastAsia="Arial" w:hAnsi="Arial"/>
          <w:b w:val="false"/>
          <w:bCs w:val="false"/>
          <w:sz w:val="22"/>
          <w:szCs w:val="22"/>
        </w:rPr>
        <w:t xml:space="preserve">2. Wk 2-3: Send pre-FCXC meeting requests to Davis and Bourgeois via FCXC networking app or LinkedIn — reference Sinha's published platform statement.</w:t>
      </w:r>
    </w:p>
    <w:p>
      <w:pPr>
        <w:spacing w:after="80" w:before="80"/>
      </w:pPr>
      <w:r>
        <w:rPr>
          <w:rFonts w:ascii="Arial" w:cs="Arial" w:eastAsia="Arial" w:hAnsi="Arial"/>
          <w:b w:val="false"/>
          <w:bCs w:val="false"/>
          <w:sz w:val="22"/>
          <w:szCs w:val="22"/>
        </w:rPr>
        <w:t xml:space="preserve">3. Wk 3-4: LinkedIn article #2 'Build-vs-buy at scale franchisors — what Sinha's appointment signals about the industry' — quotes Sinha directly, positions Velocity GTM as the consultant who already understands what Sinha is solving for.</w:t>
      </w:r>
    </w:p>
    <w:p>
      <w:pPr>
        <w:spacing w:after="80" w:before="80"/>
      </w:pPr>
      <w:r>
        <w:rPr>
          <w:rFonts w:ascii="Arial" w:cs="Arial" w:eastAsia="Arial" w:hAnsi="Arial"/>
          <w:b w:val="false"/>
          <w:bCs w:val="false"/>
          <w:sz w:val="22"/>
          <w:szCs w:val="22"/>
        </w:rPr>
        <w:t xml:space="preserve">4. Wk 5-6: FCXC EXECUTION (June 2-4 Atlanta). Booth presence locked. Mike on the ground. 1-page leave-behind with Sinha quote + value-creation math ready.</w:t>
      </w:r>
    </w:p>
    <w:p>
      <w:pPr>
        <w:pBdr>
          <w:bottom w:val="single" w:color="185FA5" w:sz="6" w:space="1"/>
        </w:pBdr>
        <w:spacing w:after="120" w:before="120"/>
      </w:pPr>
    </w:p>
    <w:p>
      <w:pPr>
        <w:pStyle w:val="Heading2"/>
        <w:spacing w:after="140" w:before="280"/>
      </w:pPr>
      <w:r>
        <w:rPr>
          <w:rFonts w:ascii="Arial" w:cs="Arial" w:eastAsia="Arial" w:hAnsi="Arial"/>
          <w:b/>
          <w:bCs/>
          <w:color w:val="185FA5"/>
          <w:sz w:val="26"/>
          <w:szCs w:val="26"/>
        </w:rPr>
        <w:t xml:space="preserve">Where this one sits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AEEDA"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Neighborly is ranked 1 of 7 P1 targets — character: PE-GATED</w:t>
            </w:r>
          </w:p>
          <w:p>
            <w:r>
              <w:rPr>
                <w:rFonts w:ascii="Arial" w:cs="Arial" w:eastAsia="Arial" w:hAnsi="Arial"/>
                <w:sz w:val="22"/>
                <w:szCs w:val="22"/>
              </w:rPr>
              <w:t xml:space="preserve">PE-GATED character. Neighborly ranks #1 on weighted scoring across 7 dimensions — largest tech base, highest urgency, strong KKR access. 2.5x the Empower tech base means 10% baseline gets us to $397K Year 1 ARR / $992K at 25% stretch. The KKR warm path is the unlock here — without it, a 5,500-franchise network is hard to access. Something we should figure out together.</w:t>
            </w:r>
          </w:p>
        </w:tc>
      </w:tr>
    </w:tbl>
    <w:p>
      <w:pPr>
        <w:pStyle w:val="Heading2"/>
        <w:spacing w:after="140" w:before="280"/>
      </w:pPr>
      <w:r>
        <w:rPr>
          <w:rFonts w:ascii="Arial" w:cs="Arial" w:eastAsia="Arial" w:hAnsi="Arial"/>
          <w:b/>
          <w:bCs/>
          <w:color w:val="185FA5"/>
          <w:sz w:val="26"/>
          <w:szCs w:val="26"/>
        </w:rPr>
        <w:t xml:space="preserve">Where I think we wedge in</w:t>
      </w:r>
    </w:p>
    <w:p>
      <w:pPr>
        <w:spacing w:after="80" w:before="80"/>
      </w:pPr>
      <w:r>
        <w:rPr>
          <w:rFonts w:ascii="Arial" w:cs="Arial" w:eastAsia="Arial" w:hAnsi="Arial"/>
          <w:sz w:val="22"/>
          <w:szCs w:val="22"/>
        </w:rPr>
        <w:t xml:space="preserve">Neighborly's scale ($397K Year 1 @ 10% baseline / $992K @ 25% stretch) makes the portfolio conversation the wedge — not a brand-level pilot. The warm-path advantage (GPSI team → KKR → Neighborly leadership) supports a top-down Sinha + Davis conversation, not a bottom-up franchisee play.</w:t>
      </w:r>
    </w:p>
    <w:p>
      <w:pPr>
        <w:pStyle w:val="ListParagraph"/>
        <w:numPr>
          <w:ilvl w:val="0"/>
          <w:numId w:val="2"/>
        </w:numPr>
        <w:spacing w:after="40" w:before="40"/>
      </w:pPr>
      <w:r>
        <w:rPr>
          <w:rFonts w:ascii="Arial" w:cs="Arial" w:eastAsia="Arial" w:hAnsi="Arial"/>
          <w:sz w:val="22"/>
          <w:szCs w:val="22"/>
        </w:rPr>
        <w:t xml:space="preserve">CIO Sinha entry — he is 6 months into setting tech roadmap. Not 'disrupting' an existing choice, he's making the choice.</w:t>
      </w:r>
    </w:p>
    <w:p>
      <w:pPr>
        <w:pStyle w:val="ListParagraph"/>
        <w:numPr>
          <w:ilvl w:val="0"/>
          <w:numId w:val="2"/>
        </w:numPr>
        <w:spacing w:after="40" w:before="40"/>
      </w:pPr>
      <w:r>
        <w:rPr>
          <w:rFonts w:ascii="Arial" w:cs="Arial" w:eastAsia="Arial" w:hAnsi="Arial"/>
          <w:sz w:val="22"/>
          <w:szCs w:val="22"/>
        </w:rPr>
        <w:t xml:space="preserve">Position as FSM augmentation to Neighborly Hub + ServiceTitan integrations, not a rip-and-replace.</w:t>
      </w:r>
    </w:p>
    <w:p>
      <w:pPr>
        <w:pStyle w:val="ListParagraph"/>
        <w:numPr>
          <w:ilvl w:val="0"/>
          <w:numId w:val="2"/>
        </w:numPr>
        <w:spacing w:after="40" w:before="40"/>
      </w:pPr>
      <w:r>
        <w:rPr>
          <w:rFonts w:ascii="Arial" w:cs="Arial" w:eastAsia="Arial" w:hAnsi="Arial"/>
          <w:sz w:val="22"/>
          <w:szCs w:val="22"/>
        </w:rPr>
        <w:t xml:space="preserve">Fleet bundle is off-the-table — Smart Fleet is the mandate. Lead with pure FSM value.</w:t>
      </w:r>
    </w:p>
    <w:p>
      <w:pPr>
        <w:pStyle w:val="ListParagraph"/>
        <w:numPr>
          <w:ilvl w:val="0"/>
          <w:numId w:val="2"/>
        </w:numPr>
        <w:spacing w:after="40" w:before="40"/>
      </w:pPr>
      <w:r>
        <w:rPr>
          <w:rFonts w:ascii="Arial" w:cs="Arial" w:eastAsia="Arial" w:hAnsi="Arial"/>
          <w:sz w:val="22"/>
          <w:szCs w:val="22"/>
        </w:rPr>
        <w:t xml:space="preserve">KKR operating partner engagement — this is a Value Creation Initiative pitch at the KKR level.</w:t>
      </w:r>
    </w:p>
    <w:p>
      <w:pPr>
        <w:pStyle w:val="Heading2"/>
        <w:spacing w:after="140" w:before="280"/>
      </w:pPr>
      <w:r>
        <w:rPr>
          <w:rFonts w:ascii="Arial" w:cs="Arial" w:eastAsia="Arial" w:hAnsi="Arial"/>
          <w:b/>
          <w:bCs/>
          <w:color w:val="185FA5"/>
          <w:sz w:val="26"/>
          <w:szCs w:val="26"/>
        </w:rPr>
        <w:t xml:space="preserve">Warm path — where we stand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180"/>
        <w:gridCol w:w="318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Target person</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Role</w:t>
            </w:r>
          </w:p>
        </w:tc>
        <w:tc>
          <w:tcPr>
            <w:tcW w:type="dxa" w:w="31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Warm path</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Felix Gernburd</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KKR operating partner</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GPSI-team-activatable (KKR pathway — OPEN/in progress)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David Brandon</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KKR Advisor + Neighborly Chairman</w:t>
            </w:r>
          </w:p>
        </w:tc>
        <w:tc>
          <w:tcPr>
            <w:tcW w:type="dxa" w:w="318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left"/>
            </w:pPr>
            <w:r>
              <w:rPr>
                <w:rFonts w:ascii="Arial" w:cs="Arial" w:eastAsia="Arial" w:hAnsi="Arial"/>
                <w:b/>
                <w:bCs/>
                <w:i w:val="false"/>
                <w:iCs w:val="false"/>
                <w:color w:val="701010"/>
                <w:sz w:val="20"/>
                <w:szCs w:val="20"/>
              </w:rPr>
              <w:t xml:space="preserve">GPSI-team-activatable (KKR pathway — OPEN/in progress)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Gagan Sinha</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CIO (primary FSM decision-maker)</w:t>
            </w:r>
          </w:p>
        </w:tc>
        <w:tc>
          <w:tcPr>
            <w:tcW w:type="dxa" w:w="318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left"/>
            </w:pPr>
            <w:r>
              <w:rPr>
                <w:rFonts w:ascii="Arial" w:cs="Arial" w:eastAsia="Arial" w:hAnsi="Arial"/>
                <w:b/>
                <w:bCs/>
                <w:i w:val="false"/>
                <w:iCs w:val="false"/>
                <w:color w:val="6B5500"/>
                <w:sz w:val="20"/>
                <w:szCs w:val="20"/>
              </w:rPr>
              <w:t xml:space="preserve">Best approached via Gernburd/Brandon introduction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Mike Davis</w:t>
            </w:r>
          </w:p>
        </w:tc>
        <w:tc>
          <w:tcPr>
            <w:tcW w:type="dxa" w:w="31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20"/>
                <w:szCs w:val="20"/>
              </w:rPr>
              <w:t xml:space="preserve">CEO</w:t>
            </w:r>
          </w:p>
        </w:tc>
        <w:tc>
          <w:tcPr>
            <w:tcW w:type="dxa" w:w="318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left"/>
            </w:pPr>
            <w:r>
              <w:rPr>
                <w:rFonts w:ascii="Arial" w:cs="Arial" w:eastAsia="Arial" w:hAnsi="Arial"/>
                <w:b/>
                <w:bCs/>
                <w:i w:val="false"/>
                <w:iCs w:val="false"/>
                <w:color w:val="6B5500"/>
                <w:sz w:val="20"/>
                <w:szCs w:val="20"/>
              </w:rPr>
              <w:t xml:space="preserve">Second-stage, after Sinha alignment</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 Accel-KKR work — open item</w:t>
            </w:r>
          </w:p>
          <w:p>
            <w:r>
              <w:rPr>
                <w:rFonts w:ascii="Arial" w:cs="Arial" w:eastAsia="Arial" w:hAnsi="Arial"/>
                <w:sz w:val="22"/>
                <w:szCs w:val="22"/>
              </w:rPr>
              <w:t xml:space="preserve">The Accel-KKR warm-path work remains open pending GPSI team's activation. Specific introduction targets and timing are in discussion. This document will be updated as that path materializes.</w:t>
            </w:r>
          </w:p>
        </w:tc>
      </w:tr>
    </w:tbl>
    <w:p>
      <w:pPr>
        <w:pStyle w:val="Heading2"/>
        <w:spacing w:after="140" w:before="280"/>
      </w:pPr>
      <w:r>
        <w:rPr>
          <w:rFonts w:ascii="Arial" w:cs="Arial" w:eastAsia="Arial" w:hAnsi="Arial"/>
          <w:b/>
          <w:bCs/>
          <w:color w:val="185FA5"/>
          <w:sz w:val="26"/>
          <w:szCs w:val="26"/>
        </w:rPr>
        <w:t xml:space="preserve">How I see this playing out</w:t>
      </w:r>
    </w:p>
    <w:p>
      <w:pPr>
        <w:spacing w:after="80" w:before="80"/>
      </w:pPr>
      <w:r>
        <w:rPr>
          <w:rFonts w:ascii="Arial" w:cs="Arial" w:eastAsia="Arial" w:hAnsi="Arial"/>
          <w:b/>
          <w:bCs/>
          <w:color w:val="185FA5"/>
          <w:sz w:val="22"/>
          <w:szCs w:val="22"/>
        </w:rPr>
        <w:t xml:space="preserve">Step 1. </w:t>
      </w:r>
      <w:r>
        <w:rPr>
          <w:rFonts w:ascii="Arial" w:cs="Arial" w:eastAsia="Arial" w:hAnsi="Arial"/>
          <w:sz w:val="22"/>
          <w:szCs w:val="22"/>
        </w:rPr>
        <w:t xml:space="preserve">GPSI team activates KKR warm path to Gernburd/Brandon with framed ROI pitch (franchisee exit value math).</w:t>
      </w:r>
    </w:p>
    <w:p>
      <w:pPr>
        <w:spacing w:after="80" w:before="80"/>
      </w:pPr>
      <w:r>
        <w:rPr>
          <w:rFonts w:ascii="Arial" w:cs="Arial" w:eastAsia="Arial" w:hAnsi="Arial"/>
          <w:b/>
          <w:bCs/>
          <w:color w:val="185FA5"/>
          <w:sz w:val="22"/>
          <w:szCs w:val="22"/>
        </w:rPr>
        <w:t xml:space="preserve">Step 2. </w:t>
      </w:r>
      <w:r>
        <w:rPr>
          <w:rFonts w:ascii="Arial" w:cs="Arial" w:eastAsia="Arial" w:hAnsi="Arial"/>
          <w:sz w:val="22"/>
          <w:szCs w:val="22"/>
        </w:rPr>
        <w:t xml:space="preserve">Gernburd/Brandon introduction to Sinha — positioned as operating-partner initiative, not a vendor pitch.</w:t>
      </w:r>
    </w:p>
    <w:p>
      <w:pPr>
        <w:spacing w:after="80" w:before="80"/>
      </w:pPr>
      <w:r>
        <w:rPr>
          <w:rFonts w:ascii="Arial" w:cs="Arial" w:eastAsia="Arial" w:hAnsi="Arial"/>
          <w:b/>
          <w:bCs/>
          <w:color w:val="185FA5"/>
          <w:sz w:val="22"/>
          <w:szCs w:val="22"/>
        </w:rPr>
        <w:t xml:space="preserve">Step 3. </w:t>
      </w:r>
      <w:r>
        <w:rPr>
          <w:rFonts w:ascii="Arial" w:cs="Arial" w:eastAsia="Arial" w:hAnsi="Arial"/>
          <w:sz w:val="22"/>
          <w:szCs w:val="22"/>
        </w:rPr>
        <w:t xml:space="preserve">Sinha technical conversation — how ServiceBridge slots in with existing Neighborly Hub + ServiceTitan partnership (not against).</w:t>
      </w:r>
    </w:p>
    <w:p>
      <w:pPr>
        <w:spacing w:after="80" w:before="80"/>
      </w:pPr>
      <w:r>
        <w:rPr>
          <w:rFonts w:ascii="Arial" w:cs="Arial" w:eastAsia="Arial" w:hAnsi="Arial"/>
          <w:b/>
          <w:bCs/>
          <w:color w:val="185FA5"/>
          <w:sz w:val="22"/>
          <w:szCs w:val="22"/>
        </w:rPr>
        <w:t xml:space="preserve">Step 4. </w:t>
      </w:r>
      <w:r>
        <w:rPr>
          <w:rFonts w:ascii="Arial" w:cs="Arial" w:eastAsia="Arial" w:hAnsi="Arial"/>
          <w:sz w:val="22"/>
          <w:szCs w:val="22"/>
        </w:rPr>
        <w:t xml:space="preserve">Davis portfolio commitment conversation — gated on Sinha alignment. Tone: respectful of founder legacy (Bidwell).</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Competitive landscape — where the headwinds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Neighborly's FSM landscape</w:t>
            </w:r>
          </w:p>
          <w:p>
            <w:r>
              <w:rPr>
                <w:rFonts w:ascii="Arial" w:cs="Arial" w:eastAsia="Arial" w:hAnsi="Arial"/>
                <w:sz w:val="22"/>
                <w:szCs w:val="22"/>
              </w:rPr>
              <w:t xml:space="preserve">FSM landscape is mixed — Sinha (CIO since Sept 2025) is publicly leading the shift to 'best-in-class platforms.' Several brands run different stacks. Smart Fleet USA / Azuga is the telematics mandate that blocks our GPSI bundle. ServiceTitan partnership was announced in 2024 but exact coverage scope across the 30+ brands isn't clear. The big strategic angle: with Sinha actively forming the roadmap, we're entering during the platform decision window — not after.</w:t>
            </w:r>
          </w:p>
        </w:tc>
      </w:tr>
    </w:tbl>
    <w:p>
      <w:pPr>
        <w:pStyle w:val="Heading2"/>
        <w:spacing w:after="140" w:before="280"/>
      </w:pPr>
      <w:r>
        <w:rPr>
          <w:rFonts w:ascii="Arial" w:cs="Arial" w:eastAsia="Arial" w:hAnsi="Arial"/>
          <w:b/>
          <w:bCs/>
          <w:color w:val="185FA5"/>
          <w:sz w:val="26"/>
          <w:szCs w:val="26"/>
        </w:rPr>
        <w:t xml:space="preserve">Brand-by-brand FSM map</w:t>
      </w:r>
    </w:p>
    <w:p>
      <w:pPr>
        <w:spacing w:after="80" w:before="80"/>
      </w:pPr>
      <w:r>
        <w:rPr>
          <w:rFonts w:ascii="Arial" w:cs="Arial" w:eastAsia="Arial" w:hAnsi="Arial"/>
          <w:sz w:val="22"/>
          <w:szCs w:val="22"/>
        </w:rPr>
        <w:t xml:space="preserve">Where each brand stands on FSM today, who pays for it, and how big the headwind is for displacement. Highlights where we have open territory vs where the incumbent is locked in.</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700"/>
        <w:gridCol w:w="1900"/>
        <w:gridCol w:w="1800"/>
        <w:gridCol w:w="1100"/>
        <w:gridCol w:w="950"/>
        <w:gridCol w:w="3330"/>
      </w:tblGrid>
      <w:tr>
        <w:trPr>
          <w:tblHeader/>
        </w:trPr>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Brand</w:t>
            </w:r>
          </w:p>
        </w:tc>
        <w:tc>
          <w:tcPr>
            <w:tcW w:type="dxa" w:w="1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FSM</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Mandate vs choice</w:t>
            </w:r>
          </w:p>
        </w:tc>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Headwind</w:t>
            </w:r>
          </w:p>
        </w:tc>
        <w:tc>
          <w:tcPr>
            <w:tcW w:type="dxa" w:w="95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GPO</w:t>
            </w:r>
          </w:p>
        </w:tc>
        <w:tc>
          <w:tcPr>
            <w:tcW w:type="dxa" w:w="333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Mr. Rooter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Plumbing brand, ~229 US locations. Likely franchisee-choice given vertical norms.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Mr. Electric</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Electrical brand. Similar profile to Mr. Rooter.</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Mr. Appliance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Appliance repair. Similar dynamics.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Mr. Handyman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General handyman vertical. Lower platform stickiness.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Molly Maid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ServiceMonster (suspected)</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Cleaning vertical, ~448 locations. Cleaning-specific tools are sticky.</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Joe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 vertical. Could be ServiceTitan-aligned per the 2024 partnership but unconfirmed.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Lawn Pride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Newer lawn brand. Less locked in.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Window Genie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Window cleaning. Smaller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The Grounds Guys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Landscaping. Standard franchisee-choice profile.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Junk King</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Junk removal. Newer to Neighborly portfolio.</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Dryer Vent Wizard</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Specialty service. Small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Precision Door Service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Garage door specialty. Vertical-specific tools may be embedded.</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Glass Doctor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Glass repair. New Brand President Gabriel Lopez (recent appointment per Sinha LinkedIn).</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HouseMaster</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Home inspection. Inspection-specific tools.</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ShelfGenie</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LOW</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Cabinet/shelf customization. Smaller footprint.</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Rainbow Restoration</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6"/>
                <w:szCs w:val="16"/>
              </w:rPr>
              <w:t xml:space="preserve">MEDIUM</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Disaster restoration. Sinha recently visited Rainbow franchisees in Germany — international angle.</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Real Property Management</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Mix — needs validation</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Franchisee-choice (assumed)</w:t>
            </w:r>
          </w:p>
        </w:tc>
        <w:tc>
          <w:tcPr>
            <w:tcW w:type="dxa" w:w="1100"/>
            <w:tcBorders>
              <w:top w:val="single" w:color="CCCCCC" w:sz="4"/>
              <w:left w:val="single" w:color="CCCCCC" w:sz="4"/>
              <w:bottom w:val="single" w:color="CCCCCC" w:sz="4"/>
              <w:right w:val="single" w:color="CCCCCC" w:sz="4"/>
            </w:tcBorders>
            <w:shd w:fill="F8DBD8" w:val="clear"/>
            <w:tcMar>
              <w:top w:type="dxa" w:w="80"/>
              <w:left w:type="dxa" w:w="120"/>
              <w:bottom w:type="dxa" w:w="80"/>
              <w:right w:type="dxa" w:w="120"/>
            </w:tcMar>
          </w:tcPr>
          <w:p>
            <w:pPr>
              <w:jc w:val="center"/>
            </w:pPr>
            <w:r>
              <w:rPr>
                <w:rFonts w:ascii="Arial" w:cs="Arial" w:eastAsia="Arial" w:hAnsi="Arial"/>
                <w:b/>
                <w:bCs/>
                <w:i w:val="false"/>
                <w:iCs w:val="false"/>
                <w:color w:val="8B2A2A"/>
                <w:sz w:val="16"/>
                <w:szCs w:val="16"/>
              </w:rPr>
              <w:t xml:space="preserve">HIGH</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Property management has its own software ecosystem (Buildium, Yardi, AppFolio). Different vertical.</w:t>
            </w:r>
          </w:p>
        </w:tc>
      </w:tr>
      <w:tr>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Telematics layer (all brands)</w:t>
            </w:r>
          </w:p>
        </w:tc>
        <w:tc>
          <w:tcPr>
            <w:tcW w:type="dxa" w:w="19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Smart Fleet USA / Azuga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MANDATED at franchisor level</w:t>
            </w:r>
          </w:p>
        </w:tc>
        <w:tc>
          <w:tcPr>
            <w:tcW w:type="dxa" w:w="11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16"/>
                <w:szCs w:val="16"/>
              </w:rPr>
              <w:t xml:space="preserve">HARD CONFLICT</w:t>
            </w:r>
          </w:p>
        </w:tc>
        <w:tc>
          <w:tcPr>
            <w:tcW w:type="dxa" w:w="95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6"/>
                <w:szCs w:val="16"/>
              </w:rPr>
              <w:t xml:space="preserve">Yes</w:t>
            </w:r>
          </w:p>
        </w:tc>
        <w:tc>
          <w:tcPr>
            <w:tcW w:type="dxa" w:w="333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This is the GPSI bundle blocker. ServiceBridge can be FSM-only pitch — bundle goes through different path.</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Headwind shorthand: LOW = open territory · MEDIUM = displacement effort · HIGH = entrenched specialty · LOCKED = mandated incumbent · HARD CONFLICT = competing against existing GPSI partnership · OPPORTUNITY = potential integration angle · NOT FSM = different category, no conflict · TBD = headwind level not yet determined.</w:t>
      </w:r>
    </w:p>
    <w:p>
      <w:pPr>
        <w:pStyle w:val="Heading2"/>
        <w:spacing w:after="140" w:before="280"/>
      </w:pPr>
      <w:r>
        <w:rPr>
          <w:rFonts w:ascii="Arial" w:cs="Arial" w:eastAsia="Arial" w:hAnsi="Arial"/>
          <w:b/>
          <w:bCs/>
          <w:color w:val="185FA5"/>
          <w:sz w:val="26"/>
          <w:szCs w:val="26"/>
        </w:rPr>
        <w:t xml:space="preserve">How this shapes our approach</w:t>
      </w:r>
    </w:p>
    <w:p>
      <w:pPr>
        <w:spacing w:after="80" w:before="80"/>
      </w:pPr>
      <w:r>
        <w:rPr>
          <w:rFonts w:ascii="Arial" w:cs="Arial" w:eastAsia="Arial" w:hAnsi="Arial"/>
          <w:sz w:val="22"/>
          <w:szCs w:val="22"/>
        </w:rPr>
        <w:t xml:space="preserve">The headwind map tells us where to wedge in first. We lead with LOW headwind brands to build proof points, then bring those wins into MEDIUM headwind conversations. We avoid LOCKED brands entirely. HARD CONFLICT items get flagged to figure out together with the team — that's where partnership choreography matters most.</w:t>
      </w:r>
    </w:p>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Marketing touches &amp; warm-up tactics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tc>
      </w:tr>
    </w:tbl>
    <w:p>
      <w:pPr>
        <w:pStyle w:val="Heading2"/>
        <w:spacing w:after="140" w:before="280"/>
      </w:pPr>
      <w:r>
        <w:rPr>
          <w:rFonts w:ascii="Arial" w:cs="Arial" w:eastAsia="Arial" w:hAnsi="Arial"/>
          <w:b/>
          <w:bCs/>
          <w:color w:val="185FA5"/>
          <w:sz w:val="26"/>
          <w:szCs w:val="26"/>
        </w:rPr>
        <w:t xml:space="preserve">The framework — 7 channels we should be working in parallel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it does for us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Event presence</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Show up where they show up. IFA Annual, franchisor annual conventions, vertical-specific industry events. Booth, sponsorship, or attendee — physical proximity matters.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 engagement</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Authentic, sustained engagement with executive content. Not spammy comments — real engagement that demonstrates we understand their business. Build name recognition over months, not weeks.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 touch</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Tasteful, deliberate physical touches sent with personal notes. Not mass mailers — hand-delivered or hand-mailed to named executives. Signals 'we built something we care about,' not 'we want to sell you something.'</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Get GPS Insight + ServiceBridge into franchise industry publications they read. Franchise Times, Franchise Update, Entrepreneur Franchise, FranchiseWire. Plus vertical-specific trade press for franchisee-level reach.</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Map who in our combined networks already touches their network. Mutual LinkedIn connections, ex-colleagues, industry friends. Quietly identify warm second-degree paths to executives.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If a franchisee inquires about ServiceBridge, that signal travels back upstream. Franchisee-level adoption creates pull at the franchisor level. We track these and use them deliberately.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Sponsorships</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Strategic sponsorship of franchisor events, IFA tracks, vertical conferences where target executives are speaking. Visibility plus credibility plus the chance to host a meeting on-site.</w:t>
            </w:r>
          </w:p>
        </w:tc>
      </w:tr>
    </w:tbl>
    <w:p>
      <w:pPr>
        <w:pStyle w:val="Heading2"/>
        <w:spacing w:after="140" w:before="280"/>
      </w:pPr>
      <w:r>
        <w:rPr>
          <w:rFonts w:ascii="Arial" w:cs="Arial" w:eastAsia="Arial" w:hAnsi="Arial"/>
          <w:b/>
          <w:bCs/>
          <w:color w:val="185FA5"/>
          <w:sz w:val="26"/>
          <w:szCs w:val="26"/>
        </w:rPr>
        <w:t xml:space="preserve">What I see for Neighborly specifically</w:t>
      </w:r>
    </w:p>
    <w:p>
      <w:pPr>
        <w:spacing w:after="100" w:before="200"/>
      </w:pPr>
      <w:r>
        <w:rPr>
          <w:rFonts w:ascii="Arial" w:cs="Arial" w:eastAsia="Arial" w:hAnsi="Arial"/>
          <w:b/>
          <w:bCs/>
          <w:color w:val="1A2B3C"/>
          <w:sz w:val="22"/>
          <w:szCs w:val="22"/>
        </w:rPr>
        <w:t xml:space="preserve">Past events — what we can learn</w:t>
      </w:r>
    </w:p>
    <w:p>
      <w:pPr>
        <w:spacing w:after="80" w:before="80"/>
      </w:pPr>
      <w:r>
        <w:rPr>
          <w:rFonts w:ascii="Arial" w:cs="Arial" w:eastAsia="Arial" w:hAnsi="Arial"/>
          <w:sz w:val="22"/>
          <w:szCs w:val="22"/>
        </w:rPr>
        <w:t xml:space="preserve">If an event already happened, it's no longer an engagement priority. But we can still mine it for intel — vendor lists, recognized franchisees, leadership themes, who spoke on what.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2680"/>
        <w:gridCol w:w="268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6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Context</w:t>
            </w:r>
          </w:p>
        </w:tc>
        <w:tc>
          <w:tcPr>
            <w:tcW w:type="dxa" w:w="26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should look for</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2026</w:t>
            </w:r>
          </w:p>
        </w:tc>
        <w:tc>
          <w:tcPr>
            <w:tcW w:type="dxa" w:w="16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22-25 2026, Las Vegas</w:t>
            </w:r>
          </w:p>
        </w:tc>
        <w:tc>
          <w:tcPr>
            <w:tcW w:type="dxa" w:w="26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Sinha was 5 months into role. Davis attended.</w:t>
            </w:r>
          </w:p>
        </w:tc>
        <w:tc>
          <w:tcPr>
            <w:tcW w:type="dxa" w:w="268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Confirm whether Davis or Sinha spoke. Look for any panel discussions or vendor conversations they had. Sinha's Bloomin' Brands network likely surfaces here.</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Upcoming events — where to engage</w:t>
      </w:r>
    </w:p>
    <w:p>
      <w:pPr>
        <w:spacing w:after="80" w:before="80"/>
      </w:pPr>
      <w:r>
        <w:rPr>
          <w:rFonts w:ascii="Arial" w:cs="Arial" w:eastAsia="Arial" w:hAnsi="Arial"/>
          <w:sz w:val="22"/>
          <w:szCs w:val="22"/>
        </w:rPr>
        <w:t xml:space="preserve">Where executives will be in the next 12 months. These are the actual engagement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3560"/>
        <w:gridCol w:w="1200"/>
      </w:tblGrid>
      <w:tr>
        <w:trPr>
          <w:tblHeader/>
        </w:trPr>
        <w:tc>
          <w:tcPr>
            <w:tcW w:type="dxa" w:w="2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18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When</w:t>
            </w:r>
          </w:p>
        </w:tc>
        <w:tc>
          <w:tcPr>
            <w:tcW w:type="dxa" w:w="3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it matters</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Annual Convention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Feb 22-24, 2027 — Mandalay Bay,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Davis (CEO), Sinha (CIO), Bourgeois (CMO) likely attendees. KKR-portfolio companies have high IFA presence. Sinha's first IFA in role.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Multi-Unit Franchising Conference 2027</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April 26-29, 2027 — Caesars Forum, Las Vegas</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5,500-franchise network = enormous multi-unit operator base. Many Neighborly multi-brand operators attend. Booth + targeted outreach to franchisee level.</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Customer Experience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June 2-4,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Davis's 'Making Fans' north star is literally a customer-experience thesis. Bourgeois (CMO) primary target attendee.</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2026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20-23, 2026 — Gaylord Texan Resort, Grapevine, TX</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Mosquito Joe franchisees attend. 4,000-4,500 pest management pros. Tom Swift cluster (if Authority overlap) but here for Mosquito Joe specifically.</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Franchise Leadership &amp; Development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6-8, 2026 — InterContinental, Atlanta</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Stevenson (CDO) primary attendee. Sinha may attend given his focus on technology supporting development.</w:t>
            </w:r>
          </w:p>
        </w:tc>
        <w:tc>
          <w:tcPr>
            <w:tcW w:type="dxa" w:w="12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center"/>
            </w:pPr>
            <w:r>
              <w:rPr>
                <w:rFonts w:ascii="Arial" w:cs="Arial" w:eastAsia="Arial" w:hAnsi="Arial"/>
                <w:b/>
                <w:bCs/>
                <w:i w:val="false"/>
                <w:iCs w:val="false"/>
                <w:color w:val="27500A"/>
                <w:sz w:val="15"/>
                <w:szCs w:val="15"/>
              </w:rPr>
              <w:t xml:space="preserve">PRIORITY 1</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PestWorld 2027 (NPMA)</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26-29, 2027 — John B. Hynes Convention Center, Boston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Same Mosquito Joe targeting. Earlier planning runway.</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PHCC CONNECT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October 19-22, 2026 — Hilton Milwaukee City Center</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Mr. Rooter franchisees attend. Plumbing-Heating-Cooling Contractors Association. Best entry point for Mr. Rooter network.</w:t>
            </w:r>
          </w:p>
        </w:tc>
        <w:tc>
          <w:tcPr>
            <w:tcW w:type="dxa" w:w="12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15"/>
                <w:szCs w:val="15"/>
              </w:rPr>
              <w:t xml:space="preserve">PRIORITY 2</w:t>
            </w:r>
          </w:p>
        </w:tc>
      </w:tr>
      <w:tr>
        <w:tc>
          <w:tcPr>
            <w:tcW w:type="dxa" w:w="2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IFA Emerging Franchisor Conference 2026</w:t>
            </w:r>
          </w:p>
        </w:tc>
        <w:tc>
          <w:tcPr>
            <w:tcW w:type="dxa" w:w="18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November 16-18, 2026 — Nashville, TN</w:t>
            </w:r>
          </w:p>
        </w:tc>
        <w:tc>
          <w:tcPr>
            <w:tcW w:type="dxa" w:w="35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Less directly relevant given Neighborly's scale, but newer brands (Junk King, Lawn Pride) fit profile.</w:t>
            </w:r>
          </w:p>
        </w:tc>
        <w:tc>
          <w:tcPr>
            <w:tcW w:type="dxa" w:w="12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center"/>
            </w:pPr>
            <w:r>
              <w:rPr>
                <w:rFonts w:ascii="Arial" w:cs="Arial" w:eastAsia="Arial" w:hAnsi="Arial"/>
                <w:b/>
                <w:bCs/>
                <w:i w:val="false"/>
                <w:iCs w:val="false"/>
                <w:color w:val="595959"/>
                <w:sz w:val="15"/>
                <w:szCs w:val="15"/>
              </w:rPr>
              <w:t xml:space="preserve">STANDARD</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Executives to track</w:t>
      </w:r>
    </w:p>
    <w:p>
      <w:pPr>
        <w:spacing w:after="80" w:before="80"/>
      </w:pPr>
      <w:r>
        <w:rPr>
          <w:rFonts w:ascii="Arial" w:cs="Arial" w:eastAsia="Arial" w:hAnsi="Arial"/>
          <w:sz w:val="22"/>
          <w:szCs w:val="22"/>
        </w:rPr>
        <w:t xml:space="preserve">Where these executives speak, post, or appear publicly is a signal. We track their calendars and look for natural touchpoint opportunities.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Executive</w:t>
            </w:r>
          </w:p>
        </w:tc>
        <w:tc>
          <w:tcPr>
            <w:tcW w:type="dxa" w:w="6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we track them</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Gagan Sinha (CIO)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PRIMARY FSM decision-maker. From Bloomin' Brands CIO + Inspire Brands SVP IT (Dunkin'/Arby's/BWW/Sonic). Atlanta-based. Harvard MBA. Stated focus: AI lead management, customer engagement, call center ops.</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Mike Davis (CEO since July 2024)</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Active LinkedIn poster. 5 stated principles: Everything communicates / Fanatical customer engagement / On the balls of our feet / We owe it to our franchise owners / Noise in the community. 13 yrs UMG, Valpak, Mathnasium. Pittsburgh Steelers fan.</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Stacy Lynn Bourgeois (CMO)</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From Yum! Brands — performance marketing + data science + marketing tech stack. Pizza Hut leadership. Could align with ServiceBridge content if framed around franchisee performance.</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David Brandon (Chairman + KKR Advisor)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WARM PATH TARGET. Public statements about 'digital transformation in progress.' KKR-aligned.</w:t>
            </w:r>
          </w:p>
        </w:tc>
      </w:tr>
      <w:tr>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20"/>
                <w:szCs w:val="20"/>
              </w:rPr>
              <w:t xml:space="preserve">Felix Gernburd (KKR Partner / Board Member)</w:t>
            </w:r>
          </w:p>
        </w:tc>
        <w:tc>
          <w:tcPr>
            <w:tcW w:type="dxa" w:w="63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WARM PATH TARGET. Direct path through the GPSI team. Public quotes on Davis's appointment about 'driving awareness.'</w:t>
            </w:r>
          </w:p>
        </w:tc>
      </w:tr>
    </w:tbl>
    <w:p>
      <w:pPr>
        <w:spacing w:after="100" w:before="200"/>
      </w:pPr>
      <w:r>
        <w:rPr>
          <w:rFonts w:ascii="Arial" w:cs="Arial" w:eastAsia="Arial" w:hAnsi="Arial"/>
          <w:b/>
          <w:bCs/>
          <w:color w:val="1A2B3C"/>
          <w:sz w:val="22"/>
          <w:szCs w:val="22"/>
        </w:rPr>
        <w:t xml:space="preserve">Specific tactics by channel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69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My read for Neighborly</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LinkedIn</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Sinha is the primary target — engage with his content authentically. He came from Bloomin' Brands so restaurant tech themes will resonate. ServiceBridge content positioning around CIO-level platform strategy (not vendor pitch) lands well here.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Press / earned media</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Tech-forward press story would land best — 'How modern FSM platforms support multi-brand franchisor portfolios' style piece, with ServiceBridge as case study, published in CIO or franchise tech outlets. Sinha would read this.</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Challenge coin / branded</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Lower-fit. Neighborly is a more corporate/PE-style operation. A polished branded touch (book, framed customer letter, custom report) lands better than a coin.</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Inbound franchisee signal</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Mr. Rooter (229 US locations) and Molly Maid (448 locations) franchisees — significant footprint. Inbound from any Neighborly franchisee carries weight, but watch for Smart Fleet/Azuga conflict on the GPSI side.</w:t>
            </w:r>
          </w:p>
        </w:tc>
      </w:tr>
      <w:tr>
        <w:tc>
          <w:tcPr>
            <w:tcW w:type="dxa" w:w="240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bCs/>
                <w:i w:val="false"/>
                <w:iCs w:val="false"/>
                <w:sz w:val="20"/>
                <w:szCs w:val="20"/>
              </w:rPr>
              <w:t xml:space="preserve">Mutual connection mapping</w:t>
            </w:r>
          </w:p>
        </w:tc>
        <w:tc>
          <w:tcPr>
            <w:tcW w:type="dxa" w:w="6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KKR portfolio network. David Brandon has Domino's roots — anyone with restaurant tech connections (especially through Sinha's Bloomin' Brands history). Worth mapping.</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Field tracking — who, where, when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tc>
      </w:tr>
    </w:tbl>
    <w:p>
      <w:pPr>
        <w:pStyle w:val="Heading2"/>
        <w:spacing w:after="140" w:before="280"/>
      </w:pPr>
      <w:r>
        <w:rPr>
          <w:rFonts w:ascii="Arial" w:cs="Arial" w:eastAsia="Arial" w:hAnsi="Arial"/>
          <w:b/>
          <w:bCs/>
          <w:color w:val="185FA5"/>
          <w:sz w:val="26"/>
          <w:szCs w:val="26"/>
        </w:rPr>
        <w:t xml:space="preserve">1. GPSI telematics client overlap</w:t>
      </w:r>
    </w:p>
    <w:p>
      <w:pPr>
        <w:spacing w:after="80" w:before="80"/>
      </w:pPr>
      <w:r>
        <w:rPr>
          <w:rFonts w:ascii="Arial" w:cs="Arial" w:eastAsia="Arial" w:hAnsi="Arial"/>
          <w:sz w:val="22"/>
          <w:szCs w:val="22"/>
        </w:rPr>
        <w:t xml:space="preserve">Existing GPSI customers within this franchisor's franchisee base are our warmest possible wedge — the brand relationship already exists, we extend it to ServiceBridge.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My read on GPSI overlap potential here</w:t>
            </w:r>
          </w:p>
          <w:p>
            <w:r>
              <w:rPr>
                <w:rFonts w:ascii="Arial" w:cs="Arial" w:eastAsia="Arial" w:hAnsi="Arial"/>
                <w:sz w:val="22"/>
                <w:szCs w:val="22"/>
              </w:rPr>
              <w:t xml:space="preserve">WATCH-OUT before pulling: Neighborly has Smart Fleet/Azuga as the telematics mandate at the franchisor level. But individual franchisees may have signed with GPSI before mandates went into effect, especially in older brands like Mr. Rooter or Mr. Electric. Pull the list with that caveat in mind.</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Open intel request to Marketing teammates:</w:t>
      </w:r>
    </w:p>
    <w:p>
      <w:pPr>
        <w:spacing w:after="80" w:before="80"/>
      </w:pPr>
      <w:r>
        <w:rPr>
          <w:rFonts w:ascii="Arial" w:cs="Arial" w:eastAsia="Arial" w:hAnsi="Arial"/>
          <w:i/>
          <w:iCs/>
          <w:sz w:val="22"/>
          <w:szCs w:val="22"/>
        </w:rPr>
        <w:t xml:space="preserve">Pull GPSI client list filtered to Neighborly brand franchisees (especially older brands: Mr. Rooter, Mr. Electric, Mr. Appliance, Molly Maid). Note any pre-existing GPSI relationships that predate the Smart Fleet/Azuga franchisor mandate — these are unique warm wedges that survived the mandate.</w:t>
      </w:r>
    </w:p>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pending intel from Marketing teammates. Once received, populated here.</w:t>
      </w:r>
    </w:p>
    <w:p>
      <w:pPr>
        <w:pStyle w:val="Heading2"/>
        <w:spacing w:after="140" w:before="280"/>
      </w:pPr>
      <w:r>
        <w:rPr>
          <w:rFonts w:ascii="Arial" w:cs="Arial" w:eastAsia="Arial" w:hAnsi="Arial"/>
          <w:b/>
          <w:bCs/>
          <w:color w:val="185FA5"/>
          <w:sz w:val="26"/>
          <w:szCs w:val="26"/>
        </w:rPr>
        <w:t xml:space="preserve">2. Where the people we want to meet will be</w:t>
      </w:r>
    </w:p>
    <w:p>
      <w:pPr>
        <w:spacing w:after="80" w:before="80"/>
      </w:pPr>
      <w:r>
        <w:rPr>
          <w:rFonts w:ascii="Arial" w:cs="Arial" w:eastAsia="Arial" w:hAnsi="Arial"/>
          <w:sz w:val="22"/>
          <w:szCs w:val="22"/>
        </w:rPr>
        <w:t xml:space="preserve">Cross-reference of leadership map against upcoming events. This is where the engagement actually happens — when a named target is in the same room we're in.</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2700"/>
        <w:gridCol w:w="2700"/>
        <w:gridCol w:w="2560"/>
      </w:tblGrid>
      <w:tr>
        <w:trPr>
          <w:tblHeader/>
        </w:trP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Person</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Event</w:t>
            </w:r>
          </w:p>
        </w:tc>
        <w:tc>
          <w:tcPr>
            <w:tcW w:type="dxa" w:w="2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Why they will be there</w:t>
            </w:r>
          </w:p>
        </w:tc>
        <w:tc>
          <w:tcPr>
            <w:tcW w:type="dxa" w:w="25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we engage</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Mike Davis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FCXC 2026 (June 2-4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His 'Making Fans' north star is literally the FCXC theme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Highest-leverage Davis touchpoint — book booth meeting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Mike Davis (CEO)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KKR-portfolio CEOs typically active at IFA</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First major IFA Davis engagement opportunity</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Gagan Sinha (CIO)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(Feb 22-24 Vegas)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First IFA in role — building network</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Sinha is the FSM decision-maker. Book the meeting.</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Stacy Lynn Bourgeois (CMO)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FCXC 2026 (June 2-4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Her Yum! data-driven background = exactly this audience</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CMO target alongside Davis</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Brad Stevenson (CDO)</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FLDC 2026 (Oct 6-8 Atlanta)</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CDO presence at FLDC</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Standard franchise development conversation</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Mr. Rooter franchisees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PHCC CONNECT 2026 (Oct 19-22 Milwaukee)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Plumbing-vertical channel for Mr. Rooter operators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Booth + targeted operator outreach</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Mosquito Joe franchisees</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PestWorld 2026 (Oct 20-23 Grapevine TX)</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Pest-vertical channel for Mosquito Joe operators</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Booth + targeted operator outreach</w:t>
            </w:r>
          </w:p>
        </w:tc>
      </w:tr>
      <w:tr>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7"/>
                <w:szCs w:val="17"/>
              </w:rPr>
              <w:t xml:space="preserve">David Brandon (Chairman + KKR Advisor)</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sz w:val="17"/>
                <w:szCs w:val="17"/>
              </w:rPr>
              <w:t xml:space="preserve">IFA Annual 2027 (probable)</w:t>
            </w:r>
          </w:p>
        </w:tc>
        <w:tc>
          <w:tcPr>
            <w:tcW w:type="dxa" w:w="2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Senior franchise industry presence — KKR-aligned</w:t>
            </w:r>
          </w:p>
        </w:tc>
        <w:tc>
          <w:tcPr>
            <w:tcW w:type="dxa" w:w="2560"/>
            <w:tcBorders>
              <w:top w:val="single" w:color="CCCCCC" w:sz="4"/>
              <w:left w:val="single" w:color="CCCCCC" w:sz="4"/>
              <w:bottom w:val="single" w:color="CCCCCC" w:sz="4"/>
              <w:right w:val="single" w:color="CCCCCC" w:sz="4"/>
            </w:tcBorders>
            <w:shd w:fill="F5F5F5"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WARM PATH TARGET — activate via GPSI team before IFA</w:t>
            </w:r>
          </w:p>
        </w:tc>
      </w:tr>
    </w:tbl>
    <w:p>
      <w:pPr>
        <w:pStyle w:val="Heading2"/>
        <w:spacing w:after="140" w:before="280"/>
      </w:pPr>
      <w:r>
        <w:rPr>
          <w:rFonts w:ascii="Arial" w:cs="Arial" w:eastAsia="Arial" w:hAnsi="Arial"/>
          <w:b/>
          <w:bCs/>
          <w:color w:val="185FA5"/>
          <w:sz w:val="26"/>
          <w:szCs w:val="26"/>
        </w:rPr>
        <w:t xml:space="preserve">3. Wedge brand field tracking</w:t>
      </w:r>
    </w:p>
    <w:p>
      <w:pPr>
        <w:spacing w:after="80" w:before="80"/>
      </w:pPr>
      <w:r>
        <w:rPr>
          <w:rFonts w:ascii="Arial" w:cs="Arial" w:eastAsia="Arial" w:hAnsi="Arial"/>
          <w:sz w:val="22"/>
          <w:szCs w:val="22"/>
        </w:rPr>
        <w:t xml:space="preserve">If the wedge brand is where we land first, then we need to know exactly where their franchisees and corporate teams gather. Three layers per brand: corporate events, franchisee gatherings, and vertical-industry events.</w:t>
      </w:r>
    </w:p>
    <w:p>
      <w:pPr>
        <w:spacing w:after="100" w:before="200"/>
      </w:pPr>
      <w:r>
        <w:rPr>
          <w:rFonts w:ascii="Arial" w:cs="Arial" w:eastAsia="Arial" w:hAnsi="Arial"/>
          <w:b/>
          <w:bCs/>
          <w:color w:val="1A2B3C"/>
          <w:sz w:val="22"/>
          <w:szCs w:val="22"/>
        </w:rPr>
        <w:t xml:space="preserve">Mr. Rooter (~229 US locations) — plumbing vertical wedge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Neighborly's annual convention (date TBD — Marketing teammates to confirm)</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MUFC 2027 (Apr 26-29 Vegas) · Mr. Rooter regional meetings (request)</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PHCC CONNECT 2026 (Oct 19-22 Milwaukee) · Service World Expo 2026 (Nov 9-12 Vegas) — 10,000+ residential contractors · WWETT Show 2027 (drain/wastewater)</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Top 10 Mr. Rooter operators by location count — request from Marketing teammates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Mosquito Joe — pest vertical wedge</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Neighborly's annual convention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 (Oct 20-23) · MUFC 2027</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PestWorld 2026 (4,000-4,500 pest pros — direct franchisee outreach)</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Top Mosquito Joe operators — request from Marketing teammates</w:t>
            </w:r>
          </w:p>
        </w:tc>
      </w:tr>
    </w:tbl>
    <w:p>
      <w:pPr>
        <w:spacing w:after="80" w:before="80"/>
      </w:pPr>
      <w:r>
        <w:rPr>
          <w:rFonts w:ascii="Arial" w:cs="Arial" w:eastAsia="Arial" w:hAnsi="Arial"/>
          <w:sz w:val="22"/>
          <w:szCs w:val="22"/>
        </w:rPr>
        <w:t xml:space="preserve"/>
      </w:r>
    </w:p>
    <w:p>
      <w:pPr>
        <w:spacing w:after="100" w:before="200"/>
      </w:pPr>
      <w:r>
        <w:rPr>
          <w:rFonts w:ascii="Arial" w:cs="Arial" w:eastAsia="Arial" w:hAnsi="Arial"/>
          <w:b/>
          <w:bCs/>
          <w:color w:val="1A2B3C"/>
          <w:sz w:val="22"/>
          <w:szCs w:val="22"/>
        </w:rPr>
        <w:t xml:space="preserve">Real Property Management — flagged HIGH headwind in competitive map</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2400"/>
        <w:gridCol w:w="7960"/>
      </w:tblGrid>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corporate is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Property management has its own software ecosystem — separate handling</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Where franchisees gather</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NARPM (National Association of Residential Property Managers) annual convention</w:t>
            </w:r>
          </w:p>
        </w:tc>
      </w:tr>
      <w:tr>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7"/>
                <w:szCs w:val="17"/>
              </w:rPr>
              <w:t xml:space="preserve">Vertical industry events</w:t>
            </w:r>
          </w:p>
        </w:tc>
        <w:tc>
          <w:tcPr>
            <w:tcW w:type="dxa" w:w="796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Property management software conferences (Buildium, AppFolio events)</w:t>
            </w:r>
          </w:p>
        </w:tc>
      </w:tr>
      <w:tr>
        <w:tc>
          <w:tcPr>
            <w:tcW w:type="dxa" w:w="240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bCs/>
                <w:i w:val="false"/>
                <w:iCs w:val="false"/>
                <w:color w:val="27500A"/>
                <w:sz w:val="17"/>
                <w:szCs w:val="17"/>
              </w:rPr>
              <w:t xml:space="preserve">Specific intel targets</w:t>
            </w:r>
          </w:p>
        </w:tc>
        <w:tc>
          <w:tcPr>
            <w:tcW w:type="dxa" w:w="7960"/>
            <w:tcBorders>
              <w:top w:val="single" w:color="CCCCCC" w:sz="4"/>
              <w:left w:val="single" w:color="CCCCCC" w:sz="4"/>
              <w:bottom w:val="single" w:color="CCCCCC" w:sz="4"/>
              <w:right w:val="single" w:color="CCCCCC" w:sz="4"/>
            </w:tcBorders>
            <w:shd w:fill="EAF3DE" w:val="clear"/>
            <w:tcMar>
              <w:top w:type="dxa" w:w="80"/>
              <w:left w:type="dxa" w:w="120"/>
              <w:bottom w:type="dxa" w:w="80"/>
              <w:right w:type="dxa" w:w="120"/>
            </w:tcMar>
          </w:tcPr>
          <w:p>
            <w:pPr>
              <w:jc w:val="left"/>
            </w:pPr>
            <w:r>
              <w:rPr>
                <w:rFonts w:ascii="Arial" w:cs="Arial" w:eastAsia="Arial" w:hAnsi="Arial"/>
                <w:b w:val="false"/>
                <w:bCs w:val="false"/>
                <w:i w:val="false"/>
                <w:iCs w:val="false"/>
                <w:sz w:val="17"/>
                <w:szCs w:val="17"/>
              </w:rPr>
              <w:t xml:space="preserve">Defer — not the wedge brand; better to target plumbing/pest first</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tc>
      </w:tr>
    </w:tbl>
    <w:p>
      <w:pPr>
        <w:pBdr>
          <w:bottom w:val="single" w:color="185FA5" w:sz="6" w:space="1"/>
        </w:pBdr>
        <w:spacing w:after="120" w:before="120"/>
      </w:pPr>
    </w:p>
    <w:p>
      <w:pPr>
        <w:pStyle w:val="Heading1"/>
        <w:spacing w:after="180" w:before="360"/>
      </w:pPr>
      <w:r>
        <w:rPr>
          <w:rFonts w:ascii="Arial" w:cs="Arial" w:eastAsia="Arial" w:hAnsi="Arial"/>
          <w:b/>
          <w:bCs/>
          <w:color w:val="1A2B3C"/>
          <w:sz w:val="32"/>
          <w:szCs w:val="32"/>
        </w:rPr>
        <w:t xml:space="preserve">🎯 Where Marketing teammates have unique line of sight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AF3DE"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How we move from where we are to where we want to be</w:t>
            </w:r>
          </w:p>
          <w:p>
            <w:r>
              <w:rPr>
                <w:rFonts w:ascii="Arial" w:cs="Arial" w:eastAsia="Arial" w:hAnsi="Arial"/>
                <w:sz w:val="22"/>
                <w:szCs w:val="22"/>
              </w:rPr>
              <w:t xml:space="preserve">My read on Neighborly: there are gaps that public research can\'t close — these are the ones where the team\'s tribal knowledge, existing relationships, and access to internal data unlock our biggest leaps. Listed here as collective gaps, not directives. Marketing teammates are best placed to move these forward.</w:t>
            </w:r>
          </w:p>
        </w:tc>
      </w:tr>
    </w:tbl>
    <w:p>
      <w:pPr>
        <w:spacing w:after="80" w:before="80"/>
      </w:pPr>
      <w:r>
        <w:rPr>
          <w:rFonts w:ascii="Arial" w:cs="Arial" w:eastAsia="Arial" w:hAnsi="Arial"/>
          <w:sz w:val="22"/>
          <w:szCs w:val="22"/>
        </w:rPr>
        <w:t xml:space="preserve">A few things where Marketing teammates' tribal knowledge would help me move faster. We'll self-assign owners on the call.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100"/>
        <w:gridCol w:w="2000"/>
        <w:gridCol w:w="2360"/>
      </w:tblGrid>
      <w:tr>
        <w:trPr>
          <w:tblHeader/>
        </w:trPr>
        <w:tc>
          <w:tcPr>
            <w:tcW w:type="dxa" w:w="9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Priority</w:t>
            </w:r>
          </w:p>
        </w:tc>
        <w:tc>
          <w:tcPr>
            <w:tcW w:type="dxa" w:w="4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need to validate</w:t>
            </w:r>
          </w:p>
        </w:tc>
        <w:tc>
          <w:tcPr>
            <w:tcW w:type="dxa" w:w="2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Current value/guess</w:t>
            </w:r>
          </w:p>
        </w:tc>
        <w:tc>
          <w:tcPr>
            <w:tcW w:type="dxa" w:w="236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Owner (assign on call)</w:t>
            </w:r>
          </w:p>
        </w:tc>
      </w:tr>
      <w:tr>
        <w:tc>
          <w:tcPr>
            <w:tcW w:type="dxa" w:w="900"/>
            <w:tcBorders>
              <w:top w:val="single" w:color="CCCCCC" w:sz="4"/>
              <w:left w:val="single" w:color="CCCCCC" w:sz="4"/>
              <w:bottom w:val="single" w:color="CCCCCC" w:sz="4"/>
              <w:right w:val="single" w:color="CCCCCC" w:sz="4"/>
            </w:tcBorders>
            <w:shd w:fill="FCEBEB" w:val="clear"/>
            <w:tcMar>
              <w:top w:type="dxa" w:w="80"/>
              <w:left w:type="dxa" w:w="120"/>
              <w:bottom w:type="dxa" w:w="80"/>
              <w:right w:type="dxa" w:w="120"/>
            </w:tcMar>
          </w:tcPr>
          <w:p>
            <w:pPr>
              <w:jc w:val="center"/>
            </w:pPr>
            <w:r>
              <w:rPr>
                <w:rFonts w:ascii="Arial" w:cs="Arial" w:eastAsia="Arial" w:hAnsi="Arial"/>
                <w:b/>
                <w:bCs/>
                <w:i w:val="false"/>
                <w:iCs w:val="false"/>
                <w:color w:val="701010"/>
                <w:sz w:val="20"/>
                <w:szCs w:val="20"/>
              </w:rPr>
              <w:t xml:space="preserve">HIGH</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bCs/>
                <w:i w:val="false"/>
                <w:iCs w:val="false"/>
                <w:sz w:val="18"/>
                <w:szCs w:val="18"/>
              </w:rPr>
              <w:t xml:space="preserve">Activate KKR warm path (Gernburd + Brandon)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GPSI team to confirm timing</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Depth of Neighborly Hub + ServiceTitan integration</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Partnership layer</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Which brands covered by ServiceTitan partnership</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Unknown — need scope</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r>
        <w:tc>
          <w:tcPr>
            <w:tcW w:type="dxa" w:w="900"/>
            <w:tcBorders>
              <w:top w:val="single" w:color="CCCCCC" w:sz="4"/>
              <w:left w:val="single" w:color="CCCCCC" w:sz="4"/>
              <w:bottom w:val="single" w:color="CCCCCC" w:sz="4"/>
              <w:right w:val="single" w:color="CCCCCC" w:sz="4"/>
            </w:tcBorders>
            <w:shd w:fill="FFF8E1" w:val="clear"/>
            <w:tcMar>
              <w:top w:type="dxa" w:w="80"/>
              <w:left w:type="dxa" w:w="120"/>
              <w:bottom w:type="dxa" w:w="80"/>
              <w:right w:type="dxa" w:w="120"/>
            </w:tcMar>
          </w:tcPr>
          <w:p>
            <w:pPr>
              <w:jc w:val="center"/>
            </w:pPr>
            <w:r>
              <w:rPr>
                <w:rFonts w:ascii="Arial" w:cs="Arial" w:eastAsia="Arial" w:hAnsi="Arial"/>
                <w:b/>
                <w:bCs/>
                <w:i w:val="false"/>
                <w:iCs w:val="false"/>
                <w:color w:val="6B5500"/>
                <w:sz w:val="20"/>
                <w:szCs w:val="20"/>
              </w:rPr>
              <w:t xml:space="preserve">MED</w:t>
            </w:r>
          </w:p>
        </w:tc>
        <w:tc>
          <w:tcPr>
            <w:tcW w:type="dxa" w:w="4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Tech count refinement across 19 active brands</w:t>
            </w:r>
          </w:p>
        </w:tc>
        <w:tc>
          <w:tcPr>
            <w:tcW w:type="dxa" w:w="2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iCs/>
                <w:color w:val="888780"/>
                <w:sz w:val="18"/>
                <w:szCs w:val="18"/>
              </w:rPr>
              <w:t xml:space="preserve">13,259</w:t>
            </w:r>
          </w:p>
        </w:tc>
        <w:tc>
          <w:tcPr>
            <w:tcW w:type="dxa" w:w="2360"/>
            <w:tcBorders>
              <w:top w:val="single" w:color="CCCCCC" w:sz="4"/>
              <w:left w:val="single" w:color="CCCCCC" w:sz="4"/>
              <w:bottom w:val="single" w:color="CCCCCC" w:sz="4"/>
              <w:right w:val="single" w:color="CCCCCC" w:sz="4"/>
            </w:tcBorders>
            <w:shd w:fill="DEEBF7" w:val="clear"/>
            <w:tcMar>
              <w:top w:type="dxa" w:w="80"/>
              <w:left w:type="dxa" w:w="120"/>
              <w:bottom w:type="dxa" w:w="80"/>
              <w:right w:type="dxa" w:w="120"/>
            </w:tcMar>
          </w:tcPr>
          <w:p>
            <w:pPr>
              <w:jc w:val="left"/>
            </w:pPr>
            <w:r>
              <w:rPr>
                <w:rFonts w:ascii="Arial" w:cs="Arial" w:eastAsia="Arial" w:hAnsi="Arial"/>
                <w:b w:val="false"/>
                <w:bCs w:val="false"/>
                <w:i/>
                <w:iCs/>
                <w:color w:val="1F4E79"/>
                <w:sz w:val="20"/>
                <w:szCs w:val="20"/>
              </w:rPr>
              <w:t xml:space="preserve">Team</w:t>
            </w:r>
          </w:p>
        </w:tc>
      </w:tr>
    </w:tbl>
    <w:p>
      <w:pPr>
        <w:pBdr>
          <w:bottom w:val="single" w:color="185FA5" w:sz="6" w:space="1"/>
        </w:pBdr>
        <w:spacing w:after="120" w:before="120"/>
      </w:pPr>
    </w:p>
    <w:p>
      <w:r>
        <w:br w:type="page"/>
      </w:r>
    </w:p>
    <w:p>
      <w:pPr>
        <w:pStyle w:val="Heading1"/>
        <w:spacing w:after="180" w:before="360"/>
      </w:pPr>
      <w:r>
        <w:rPr>
          <w:rFonts w:ascii="Arial" w:cs="Arial" w:eastAsia="Arial" w:hAnsi="Arial"/>
          <w:b/>
          <w:bCs/>
          <w:color w:val="1A2B3C"/>
          <w:sz w:val="32"/>
          <w:szCs w:val="32"/>
        </w:rPr>
        <w:t xml:space="preserve">📊 Engagement scorecard — what we're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E8F4F4" w:val="clear"/>
            <w:tcMar>
              <w:top w:type="dxa" w:w="200"/>
              <w:left w:type="dxa" w:w="240"/>
              <w:bottom w:type="dxa" w:w="200"/>
              <w:right w:type="dxa" w:w="240"/>
            </w:tcMar>
          </w:tcPr>
          <w:p>
            <w:pPr>
              <w:spacing w:after="120"/>
            </w:pPr>
            <w:r>
              <w:rPr>
                <w:rFonts w:ascii="Arial" w:cs="Arial" w:eastAsia="Arial" w:hAnsi="Arial"/>
                <w:b/>
                <w:bCs/>
                <w:color w:val="1A2B3C"/>
                <w:sz w:val="24"/>
                <w:szCs w:val="24"/>
              </w:rPr>
              <w:t xml:space="preserve">Why this section exists</w:t>
            </w:r>
          </w:p>
          <w:p>
            <w:r>
              <w:rPr>
                <w:rFonts w:ascii="Arial" w:cs="Arial" w:eastAsia="Arial" w:hAnsi="Arial"/>
                <w:sz w:val="22"/>
                <w:szCs w:val="22"/>
              </w:rPr>
              <w:t xml:space="preserve">This is where we capture what actually happens when we engage Neighborly. Every call, every LinkedIn touch, every signal — short note, what landed, what didn't, and what we change as a result. We test our assumptions on the live target, then update the rest of this package based on what we find. The package gets smarter as we go.</w:t>
            </w:r>
          </w:p>
        </w:tc>
      </w:tr>
    </w:tbl>
    <w:p>
      <w:pPr>
        <w:pStyle w:val="Heading2"/>
        <w:spacing w:after="140" w:before="280"/>
      </w:pPr>
      <w:r>
        <w:rPr>
          <w:rFonts w:ascii="Arial" w:cs="Arial" w:eastAsia="Arial" w:hAnsi="Arial"/>
          <w:b/>
          <w:bCs/>
          <w:color w:val="185FA5"/>
          <w:sz w:val="26"/>
          <w:szCs w:val="26"/>
        </w:rPr>
        <w:t xml:space="preserve">Engagement log</w:t>
      </w:r>
    </w:p>
    <w:p>
      <w:pPr>
        <w:spacing w:after="80" w:before="80"/>
      </w:pPr>
      <w:r>
        <w:rPr>
          <w:rFonts w:ascii="Arial" w:cs="Arial" w:eastAsia="Arial" w:hAnsi="Arial"/>
          <w:sz w:val="22"/>
          <w:szCs w:val="22"/>
        </w:rPr>
        <w:t xml:space="preserve">One row per meaningful interaction. Keep entries short — 30 seconds to add after a call.</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1700"/>
        <w:gridCol w:w="2400"/>
        <w:gridCol w:w="1200"/>
        <w:gridCol w:w="2880"/>
      </w:tblGrid>
      <w:tr>
        <w:trPr>
          <w:tblHeader/>
        </w:trPr>
        <w:tc>
          <w:tcPr>
            <w:tcW w:type="dxa" w:w="11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15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Channel</w:t>
            </w:r>
          </w:p>
        </w:tc>
        <w:tc>
          <w:tcPr>
            <w:tcW w:type="dxa" w:w="17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Who</w:t>
            </w:r>
          </w:p>
        </w:tc>
        <w:tc>
          <w:tcPr>
            <w:tcW w:type="dxa" w:w="2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tried</w:t>
            </w:r>
          </w:p>
        </w:tc>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Signal</w:t>
            </w:r>
          </w:p>
        </w:tc>
        <w:tc>
          <w:tcPr>
            <w:tcW w:type="dxa" w:w="28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we learned / next move</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1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5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7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2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c>
          <w:tcPr>
            <w:tcW w:type="dxa" w:w="28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Signal column shorthand: 🟢 strong (warm response, follow-up appetite) · 🟡 mixed (polite but no pull) · 🔴 cold (no response or pushback) · ⚪ pending (waiting on response).</w:t>
      </w:r>
    </w:p>
    <w:p>
      <w:pPr>
        <w:pStyle w:val="Heading2"/>
        <w:spacing w:after="140" w:before="280"/>
      </w:pPr>
      <w:r>
        <w:rPr>
          <w:rFonts w:ascii="Arial" w:cs="Arial" w:eastAsia="Arial" w:hAnsi="Arial"/>
          <w:b/>
          <w:bCs/>
          <w:color w:val="185FA5"/>
          <w:sz w:val="26"/>
          <w:szCs w:val="26"/>
        </w:rPr>
        <w:t xml:space="preserve">What's landing — what's not</w:t>
      </w:r>
    </w:p>
    <w:p>
      <w:pPr>
        <w:spacing w:after="80" w:before="80"/>
      </w:pPr>
      <w:r>
        <w:rPr>
          <w:rFonts w:ascii="Arial" w:cs="Arial" w:eastAsia="Arial" w:hAnsi="Arial"/>
          <w:sz w:val="22"/>
          <w:szCs w:val="22"/>
        </w:rPr>
        <w:t xml:space="preserve">Track which assumptions hold up in the field and which need to be revised. We update the rest of this package based on what we find here.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4400"/>
        <w:gridCol w:w="4400"/>
        <w:gridCol w:w="1980"/>
      </w:tblGrid>
      <w:tr>
        <w:trPr>
          <w:tblHeader/>
        </w:trPr>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Hypothesis we tested</w:t>
            </w:r>
          </w:p>
        </w:tc>
        <w:tc>
          <w:tcPr>
            <w:tcW w:type="dxa" w:w="44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How it actually played</w:t>
            </w:r>
          </w:p>
        </w:tc>
        <w:tc>
          <w:tcPr>
            <w:tcW w:type="dxa" w:w="19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center"/>
            </w:pPr>
            <w:r>
              <w:rPr>
                <w:rFonts w:ascii="Arial" w:cs="Arial" w:eastAsia="Arial" w:hAnsi="Arial"/>
                <w:b/>
                <w:bCs/>
                <w:i w:val="false"/>
                <w:iCs w:val="false"/>
                <w:color w:val="FFFFFF"/>
                <w:sz w:val="18"/>
                <w:szCs w:val="18"/>
              </w:rPr>
              <w:t xml:space="preserve">Status</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Sinha's 'shift from build to buy' published quote opens the door before any pitch</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Sinha's Bloomin' Brands restaurant tech background means our content should reference platform consolidation language he already knows</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Davis's 'Making Fans' north star resonates with a franchisee-experience pitch (vs technology pitch)</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KKR warm path through the GPSI team is a real pathway (vs theoretical)</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Smart Fleet/Azuga blocks the GPSI bundle — FSM-only pitch is correct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Tone awareness around Bidwell's passing matters for any senior-level engagement</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r>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44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19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center"/>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p>
      <w:pPr>
        <w:spacing w:after="80" w:before="80"/>
      </w:pPr>
      <w:r>
        <w:rPr>
          <w:rFonts w:ascii="Arial" w:cs="Arial" w:eastAsia="Arial" w:hAnsi="Arial"/>
          <w:i/>
          <w:iCs/>
          <w:color w:val="888780"/>
          <w:sz w:val="22"/>
          <w:szCs w:val="22"/>
        </w:rPr>
        <w:t xml:space="preserve">Status shorthand: ✓ confirmed · ✗ disproven · ↻ revising · — pending evidence.</w:t>
      </w:r>
    </w:p>
    <w:p>
      <w:pPr>
        <w:pStyle w:val="Heading2"/>
        <w:spacing w:after="140" w:before="280"/>
      </w:pPr>
      <w:r>
        <w:rPr>
          <w:rFonts w:ascii="Arial" w:cs="Arial" w:eastAsia="Arial" w:hAnsi="Arial"/>
          <w:b/>
          <w:bCs/>
          <w:color w:val="185FA5"/>
          <w:sz w:val="26"/>
          <w:szCs w:val="26"/>
        </w:rPr>
        <w:t xml:space="preserve">Package updates triggered by learnings</w:t>
      </w:r>
    </w:p>
    <w:p>
      <w:pPr>
        <w:spacing w:after="80" w:before="80"/>
      </w:pPr>
      <w:r>
        <w:rPr>
          <w:rFonts w:ascii="Arial" w:cs="Arial" w:eastAsia="Arial" w:hAnsi="Arial"/>
          <w:sz w:val="22"/>
          <w:szCs w:val="22"/>
        </w:rPr>
        <w:t xml:space="preserve">When a learning changes our approach, we update the relevant section of this package and note it here. Keeps the package live.</w:t>
      </w:r>
    </w:p>
    <w:tbl>
      <w:tblPr>
        <w:tblW w:type="dxa" w:w="10780"/>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6580"/>
      </w:tblGrid>
      <w:tr>
        <w:trPr>
          <w:tblHeader/>
        </w:trPr>
        <w:tc>
          <w:tcPr>
            <w:tcW w:type="dxa" w:w="12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Date</w:t>
            </w:r>
          </w:p>
        </w:tc>
        <w:tc>
          <w:tcPr>
            <w:tcW w:type="dxa" w:w="300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Section updated</w:t>
            </w:r>
          </w:p>
        </w:tc>
        <w:tc>
          <w:tcPr>
            <w:tcW w:type="dxa" w:w="6580"/>
            <w:tcBorders>
              <w:top w:val="single" w:color="CCCCCC" w:sz="4"/>
              <w:left w:val="single" w:color="CCCCCC" w:sz="4"/>
              <w:bottom w:val="single" w:color="CCCCCC" w:sz="4"/>
              <w:right w:val="single" w:color="CCCCCC" w:sz="4"/>
            </w:tcBorders>
            <w:shd w:fill="1A2B3C" w:val="clear"/>
            <w:tcMar>
              <w:top w:type="dxa" w:w="80"/>
              <w:left w:type="dxa" w:w="120"/>
              <w:bottom w:type="dxa" w:w="80"/>
              <w:right w:type="dxa" w:w="120"/>
            </w:tcMar>
          </w:tcPr>
          <w:p>
            <w:pPr>
              <w:jc w:val="left"/>
            </w:pPr>
            <w:r>
              <w:rPr>
                <w:rFonts w:ascii="Arial" w:cs="Arial" w:eastAsia="Arial" w:hAnsi="Arial"/>
                <w:b/>
                <w:bCs/>
                <w:i w:val="false"/>
                <w:iCs w:val="false"/>
                <w:color w:val="FFFFFF"/>
                <w:sz w:val="18"/>
                <w:szCs w:val="18"/>
              </w:rPr>
              <w:t xml:space="preserve">What changed</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r>
        <w:tc>
          <w:tcPr>
            <w:tcW w:type="dxa" w:w="12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300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c>
          <w:tcPr>
            <w:tcW w:type="dxa" w:w="6580"/>
            <w:tcBorders>
              <w:top w:val="single" w:color="CCCCCC" w:sz="4"/>
              <w:left w:val="single" w:color="CCCCCC" w:sz="4"/>
              <w:bottom w:val="single" w:color="CCCCCC" w:sz="4"/>
              <w:right w:val="single" w:color="CCCCCC" w:sz="4"/>
            </w:tcBorders>
            <w:tcMar>
              <w:top w:type="dxa" w:w="80"/>
              <w:left w:type="dxa" w:w="120"/>
              <w:bottom w:type="dxa" w:w="80"/>
              <w:right w:type="dxa" w:w="120"/>
            </w:tcMar>
          </w:tcPr>
          <w:p>
            <w:pPr>
              <w:jc w:val="left"/>
            </w:pPr>
            <w:r>
              <w:rPr>
                <w:rFonts w:ascii="Arial" w:cs="Arial" w:eastAsia="Arial" w:hAnsi="Arial"/>
                <w:b w:val="false"/>
                <w:bCs w:val="false"/>
                <w:i w:val="false"/>
                <w:iCs w:val="false"/>
                <w:sz w:val="18"/>
                <w:szCs w:val="18"/>
              </w:rPr>
              <w:t xml:space="preserve"> </w:t>
            </w:r>
          </w:p>
        </w:tc>
      </w:tr>
    </w:tbl>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4"/>
              <w:left w:val="single" w:color="CCCCCC" w:sz="4"/>
              <w:bottom w:val="single" w:color="CCCCCC" w:sz="4"/>
              <w:right w:val="single" w:color="CCCCCC" w:sz="4"/>
            </w:tcBorders>
            <w:shd w:fill="FFF8E1" w:val="clear"/>
            <w:tcMar>
              <w:top w:type="dxa" w:w="200"/>
              <w:left w:type="dxa" w:w="240"/>
              <w:bottom w:type="dxa" w:w="200"/>
              <w:right w:type="dxa" w:w="240"/>
            </w:tcMar>
          </w:tcPr>
        </w:tc>
      </w:tr>
    </w:tbl>
    <w:p>
      <w:pPr>
        <w:spacing w:after="80" w:before="200"/>
        <w:jc w:val="center"/>
      </w:pPr>
      <w:r>
        <w:rPr>
          <w:rFonts w:ascii="Arial" w:cs="Arial" w:eastAsia="Arial" w:hAnsi="Arial"/>
          <w:i/>
          <w:iCs/>
          <w:color w:val="888780"/>
          <w:sz w:val="18"/>
          <w:szCs w:val="18"/>
        </w:rPr>
        <w:t xml:space="preserve">— End of document —</w:t>
      </w:r>
    </w:p>
    <w:p>
      <w:pPr>
        <w:spacing w:after="40" w:before="40"/>
        <w:jc w:val="center"/>
      </w:pPr>
      <w:r>
        <w:rPr>
          <w:rFonts w:ascii="Arial" w:cs="Arial" w:eastAsia="Arial" w:hAnsi="Arial"/>
          <w:i/>
          <w:iCs/>
          <w:color w:val="888780"/>
          <w:sz w:val="16"/>
          <w:szCs w:val="16"/>
        </w:rPr>
        <w:t xml:space="preserve">Velocity GTM Co LLC  ·  Neighborly GTM Engagement Readiness  ·  April 24,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88780"/>
        <w:sz w:val="16"/>
        <w:szCs w:val="16"/>
      </w:rPr>
      <w:t xml:space="preserve">Velocity GTM Co LLC  ·  April 24, 2026  ·  Page </w:t>
    </w:r>
    <w:r>
      <w:rPr>
        <w:rFonts w:ascii="Arial" w:cs="Arial" w:eastAsia="Arial" w:hAnsi="Arial"/>
        <w:color w:val="8887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888780"/>
        <w:sz w:val="16"/>
        <w:szCs w:val="16"/>
      </w:rPr>
      <w:t xml:space="preserve">NEIGHBORLY · GTM ENGAGEMENT READINESS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1A2B3C"/>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85FA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Neighborly — GTM Engagement Readiness</dc:title>
  <dc:creator>Velocity GTM Co LLC</dc:creator>
  <cp:lastModifiedBy>Un-named</cp:lastModifiedBy>
  <cp:revision>1</cp:revision>
  <dcterms:created xsi:type="dcterms:W3CDTF">2026-04-27T19:00:07.215Z</dcterms:created>
  <dcterms:modified xsi:type="dcterms:W3CDTF">2026-04-27T19:00:07.215Z</dcterms:modified>
</cp:coreProperties>
</file>

<file path=docProps/custom.xml><?xml version="1.0" encoding="utf-8"?>
<Properties xmlns="http://schemas.openxmlformats.org/officeDocument/2006/custom-properties" xmlns:vt="http://schemas.openxmlformats.org/officeDocument/2006/docPropsVTypes"/>
</file>