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PREMIUM SERVICE 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#6 · GREENFIELD-OPEN · Score 59.0</w:t>
      </w:r>
    </w:p>
    <w:p>
      <w:pPr>
        <w:spacing w:after="240" w:before="0"/>
        <w:jc w:val="center"/>
      </w:pPr>
      <w:r>
        <w:rPr>
          <w:rFonts w:ascii="Arial" w:cs="Arial" w:eastAsia="Arial" w:hAnsi="Arial"/>
          <w:i/>
          <w:iCs/>
          <w:color w:val="888780"/>
          <w:sz w:val="20"/>
          <w:szCs w:val="20"/>
        </w:rPr>
        <w:t xml:space="preserve">Pilot FSM status · RooterMan = 70% of network · franchisor financial distress</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PSB sits at rank #6</w:t>
            </w:r>
          </w:p>
          <w:p>
            <w:r>
              <w:rPr>
                <w:rFonts w:ascii="Arial" w:cs="Arial" w:eastAsia="Arial" w:hAnsi="Arial"/>
                <w:sz w:val="22"/>
                <w:szCs w:val="22"/>
              </w:rPr>
              <w:t xml:space="preserve">PSB came in at #4 with a score of 56, but the revenue rule deprioritizes them against Neighborly and Authority. This one is genuinely different than the targets ahead of it. PSB's own FDD says they are 'pilot-testing a tech solution' — there's no portfolio FSM here yet. RooterMan is 70% of the network at 720-750 locations, so any PSB play is really a RooterMan play. The risk I want to flag: RooterMan's 2025 FDD shows the parent at a $5.8M members' deficit, net losses in both 2023 and 2024, and 15% unit churn in 2024. My read is the franchisor can't credibly fund a portfolio-wide rollout in that state, which moves us from a mandate-down pitch to a franchisee-up pitch.</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PSB is not a single-vendor displacement like Empower. There is no portfolio-wide FSM here — just a pilot.</w:t>
      </w:r>
    </w:p>
    <w:p>
      <w:pPr>
        <w:pStyle w:val="ListParagraph"/>
        <w:numPr>
          <w:ilvl w:val="0"/>
          <w:numId w:val="2"/>
        </w:numPr>
        <w:spacing w:after="40" w:before="40"/>
      </w:pPr>
      <w:r>
        <w:rPr>
          <w:rFonts w:ascii="Arial" w:cs="Arial" w:eastAsia="Arial" w:hAnsi="Arial"/>
          <w:sz w:val="22"/>
          <w:szCs w:val="22"/>
        </w:rPr>
        <w:t xml:space="preserve">RooterMan is 70% of the network. Any PSB strategy is effectively a RooterMan strategy.</w:t>
      </w:r>
    </w:p>
    <w:p>
      <w:pPr>
        <w:pStyle w:val="ListParagraph"/>
        <w:numPr>
          <w:ilvl w:val="0"/>
          <w:numId w:val="2"/>
        </w:numPr>
        <w:spacing w:after="40" w:before="40"/>
      </w:pPr>
      <w:r>
        <w:rPr>
          <w:rFonts w:ascii="Arial" w:cs="Arial" w:eastAsia="Arial" w:hAnsi="Arial"/>
          <w:sz w:val="22"/>
          <w:szCs w:val="22"/>
        </w:rPr>
        <w:t xml:space="preserve">Parent has a $5.8M deficit and 15% RooterMan churn. My read is franchisor-level commitments are unlikely in this state.</w:t>
      </w:r>
    </w:p>
    <w:p>
      <w:pPr>
        <w:pStyle w:val="ListParagraph"/>
        <w:numPr>
          <w:ilvl w:val="0"/>
          <w:numId w:val="2"/>
        </w:numPr>
        <w:spacing w:after="40" w:before="40"/>
      </w:pPr>
      <w:r>
        <w:rPr>
          <w:rFonts w:ascii="Arial" w:cs="Arial" w:eastAsia="Arial" w:hAnsi="Arial"/>
          <w:sz w:val="22"/>
          <w:szCs w:val="22"/>
        </w:rPr>
        <w:t xml:space="preserve">I had Nesto wrong in earlier notes. It's not FSM — it's a customer loyalty play in Flick's own words. Corrected here.</w:t>
      </w:r>
    </w:p>
    <w:p>
      <w:pPr>
        <w:pStyle w:val="ListParagraph"/>
        <w:numPr>
          <w:ilvl w:val="0"/>
          <w:numId w:val="2"/>
        </w:numPr>
        <w:spacing w:after="40" w:before="40"/>
      </w:pPr>
      <w:r>
        <w:rPr>
          <w:rFonts w:ascii="Arial" w:cs="Arial" w:eastAsia="Arial" w:hAnsi="Arial"/>
          <w:sz w:val="22"/>
          <w:szCs w:val="22"/>
        </w:rPr>
        <w:t xml:space="preserve">Opportunity angle: ServiceBridge as a franchisee retention lever. PSB has a reason to welcome a partner that reduces their 15% annual churn.</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9</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PSB website + Feb 2026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locations (actual)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~1,000-1,050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Sum of 2024-2025 FDD counts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RooterMan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720-750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Franchise Direct 2024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360° Painting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86 franchisees / 102 businesses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2025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ProLift Garage Doors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72-94</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2024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Maid Right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29-44</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2024-2025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Portfolio FSM</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'Pilot-testing' per own FDD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PSB FDD direct quote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ServiceMinder at any PSB brand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Exhaustive search</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ServiceTitan at any PSB brand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No partnership announcement</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Parent members' deficit (2024)</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$5.8M+</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RooterMan 2025 FDD financials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RooterMan 2024 unit churn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15% / 100+ units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RooterMan 2025 FDD Item 20</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CEO/Founder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Paul Flick</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PSB press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Roxanne Conrad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PSB press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Susquehanna Private Capital</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PSB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 formal GPO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Web research (no procurement program identified)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85%</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RooterMan + home services dominate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How we got to this tech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Honest framing: this is a vertical-calibrated mid-point estimate, not verified headcount</w:t>
            </w:r>
          </w:p>
          <w:p>
            <w:r>
              <w:rPr>
                <w:rFonts w:ascii="Arial" w:cs="Arial" w:eastAsia="Arial" w:hAnsi="Arial"/>
                <w:sz w:val="22"/>
                <w:szCs w:val="22"/>
              </w:rPr>
              <w:t xml:space="preserve">PSB is dominated by RooterMan (~720-750 locations, 70% of network). 360 Painting ~86 franchisees, ProLift Garage Doors ~72-94, Maid Right ~29-44, Grout Medic ~60. RooterMan plumbing operations skew higher techs/location (5-8) while smaller brands skew lower (2-4). Range reflects this mix. FDDs do not typically disclose techs-per-franchisee — Item 20 lists locations, Item 19 lists financials, but average headcount is not a standard disclosure. So our 4,500 mid-point for PSB is anchored on what's reasonable given the brand mix, but the actual number could land anywhere in the range below. Marketing teammates likely have direct headcount data through operator surveys, regional meeting reports, or franchisee scorecards that would tighten this from ESTIMATED to VERIFIED.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Range and corresponding Year 1 ARR @ 10%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80"/>
        <w:gridCol w:w="2380"/>
      </w:tblGrid>
      <w:tr>
        <w:trPr>
          <w:tblHeader/>
        </w:trPr>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Scenario</w:t>
            </w:r>
          </w:p>
        </w:tc>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 count</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10%</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25%</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Low (conservative)</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3,200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$95,808</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$239,520</w:t>
            </w:r>
          </w:p>
        </w:tc>
      </w:tr>
      <w:tr>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8"/>
                <w:szCs w:val="18"/>
              </w:rPr>
              <w:t xml:space="preserve">Mid (our headline)</w:t>
            </w:r>
          </w:p>
        </w:tc>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4,500</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$134,730</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$336,825</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High (stretch)</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5,800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$173,652</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$434,130</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Headline numbers throughout this package run off the mid-point. The low/high band is the honest defensive context — if a CFO asks how confident we are in 4,500 techs, the answer is "vertical-calibrated mid-point; range is 3,200-5,800 depending on actual tech-per-location at the brand mix; Marketing teammates have the real headcount data to tighten this." Reads honest, not defensive.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PSB — franchisor-level ROI model</w:t>
      </w:r>
    </w:p>
    <w:p>
      <w:pPr>
        <w:spacing w:after="80" w:before="80"/>
      </w:pPr>
      <w:r>
        <w:rPr>
          <w:rFonts w:ascii="Arial" w:cs="Arial" w:eastAsia="Arial" w:hAnsi="Arial"/>
          <w:sz w:val="22"/>
          <w:szCs w:val="22"/>
        </w:rPr>
        <w:t xml:space="preserve">The model is straightforward — if ServiceBridge is adopted across PSB's network, what does that do to PSB's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4,500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Vertical-calibrated from 2024-2025 FDDs (RooterMan 720-750, 360° Painting 86, ProLift 72-94, Maid Right 29-44)</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$3.60M/yr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4,500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$0.22M/yr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$2.59M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$36.0M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$134,730</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$134,730</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$134,730</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$269,460</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$134,730</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$404,190</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$336,825 and 3-year cumulative reaches $1,010,475.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PSB — our conservative working baseline — franchisee-level exit value creation is ~$36M (10% penetration × $8K/tech EBITDA × 10x multiple). 3-year cumulative ServiceBridge investment is ~$404.19K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PSB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450</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$3.6M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$36M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1,125</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$9.0M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$90M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32"/>
                <w:szCs w:val="32"/>
              </w:rPr>
              <w:t xml:space="preserve">4 / 15</w:t>
            </w:r>
          </w:p>
        </w:tc>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MID-TERM (Wks 10-13+)</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#6 of 7  (GREENFIELD-OPEN)</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PSB leadership stable. Flick CEO long-tenured. Conrad known contact at PSB but not new role.</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PSB target confirmed at FCXC or other in-window event.</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PSB 2025 FDD says they are 'pilot-testing a tech solution' — weak buying-mode signal but uncoordinated and franchisor-distress-limited.</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documented warm path to PSB or Susquehanna Private Capital. GPSI team mapping needed but lower confidence than KKR/Apax.</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Pilot-testing language present, but franchisor's $5.8M deficit + 15% RooterMan churn means franchisor-level commitments unlikely. Bottom-up RooterMan path is the actual urgency, not top-down PSB.</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PSB this week</w:t>
            </w:r>
          </w:p>
          <w:p>
            <w:r>
              <w:rPr>
                <w:rFonts w:ascii="Arial" w:cs="Arial" w:eastAsia="Arial" w:hAnsi="Arial"/>
                <w:sz w:val="22"/>
                <w:szCs w:val="22"/>
              </w:rPr>
              <w:t xml:space="preserve">PSB is mid-term at the franchisor level — the franchisor is in financial distress so top-down engagement won't convert in Phase 1. The real urgency lives in Track 2 P1 (RooterMan operators). Treat PSB as Phase 2 franchisor work.</w:t>
            </w:r>
          </w:p>
        </w:tc>
      </w:tr>
    </w:tbl>
    <w:p>
      <w:pPr>
        <w:spacing w:after="80" w:before="80"/>
      </w:pPr>
      <w:r>
        <w:rPr>
          <w:rFonts w:ascii="Arial" w:cs="Arial" w:eastAsia="Arial" w:hAnsi="Arial"/>
          <w:b w:val="false"/>
          <w:bCs w:val="false"/>
          <w:sz w:val="22"/>
          <w:szCs w:val="22"/>
        </w:rPr>
        <w:t xml:space="preserve">1. Wk 1-2: GPSI team → Susquehanna mapping in same warm path session. Even confirmed-no-path is useful intel.</w:t>
      </w:r>
    </w:p>
    <w:p>
      <w:pPr>
        <w:spacing w:after="80" w:before="80"/>
      </w:pPr>
      <w:r>
        <w:rPr>
          <w:rFonts w:ascii="Arial" w:cs="Arial" w:eastAsia="Arial" w:hAnsi="Arial"/>
          <w:b w:val="false"/>
          <w:bCs w:val="false"/>
          <w:sz w:val="22"/>
          <w:szCs w:val="22"/>
        </w:rPr>
        <w:t xml:space="preserve">2. Wk 2-4: Marketing teammates discovery — who is the PSB 'pilot tech' referenced in the FDD? 30-min discovery call to scope. May reveal incumbent we're displacing.</w:t>
      </w:r>
    </w:p>
    <w:p>
      <w:pPr>
        <w:spacing w:after="80" w:before="80"/>
      </w:pPr>
      <w:r>
        <w:rPr>
          <w:rFonts w:ascii="Arial" w:cs="Arial" w:eastAsia="Arial" w:hAnsi="Arial"/>
          <w:b w:val="false"/>
          <w:bCs w:val="false"/>
          <w:sz w:val="22"/>
          <w:szCs w:val="22"/>
        </w:rPr>
        <w:t xml:space="preserve">3. Wk 3-6: RooterMan Track 2 P1 work runs in parallel — operators are where Phase 1 PSB-related engagement actually happens.</w:t>
      </w:r>
    </w:p>
    <w:p>
      <w:pPr>
        <w:spacing w:after="80" w:before="80"/>
      </w:pPr>
      <w:r>
        <w:rPr>
          <w:rFonts w:ascii="Arial" w:cs="Arial" w:eastAsia="Arial" w:hAnsi="Arial"/>
          <w:b w:val="false"/>
          <w:bCs w:val="false"/>
          <w:sz w:val="22"/>
          <w:szCs w:val="22"/>
        </w:rPr>
        <w:t xml:space="preserve">4. Phase 2: If RooterMan operator engagement produces case-study material, use that to engage PSB corporate in Phase 2 with proof points in hand.</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PSB is ranked 6 of 7 P1 targets — character: GREENFIELD-OPEN</w:t>
            </w:r>
          </w:p>
          <w:p>
            <w:r>
              <w:rPr>
                <w:rFonts w:ascii="Arial" w:cs="Arial" w:eastAsia="Arial" w:hAnsi="Arial"/>
                <w:sz w:val="22"/>
                <w:szCs w:val="22"/>
              </w:rPr>
              <w:t xml:space="preserve">GREENFIELD-OPEN character. No portfolio FSM to displace makes this technically greenfield — but the financial distress and scattered decision authority make it more complicated than Empower's clean 2-person architecture. Score 59.0 (V2 weighted across 7 dimensions — see 'How we scored this' below). PSB sits at #6 because smaller network and lower urgency place it behind larger opportunities.</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RooterMan is the wedge — 70% of PSB's network, 720-750 locations, plumbing is the classic ServiceBridge use case (emergency dispatch, route optimization, truck inventory, customer comms). 15% churn = franchisees in pain = FSM directly relevant.</w:t>
      </w:r>
    </w:p>
    <w:p>
      <w:pPr>
        <w:pStyle w:val="ListParagraph"/>
        <w:numPr>
          <w:ilvl w:val="0"/>
          <w:numId w:val="2"/>
        </w:numPr>
        <w:spacing w:after="40" w:before="40"/>
      </w:pPr>
      <w:r>
        <w:rPr>
          <w:rFonts w:ascii="Arial" w:cs="Arial" w:eastAsia="Arial" w:hAnsi="Arial"/>
          <w:sz w:val="22"/>
          <w:szCs w:val="22"/>
        </w:rPr>
        <w:t xml:space="preserve">RooterMan franchisee-level pitch: $24.95/user/mo ServiceBridge is accessible for price-sensitive operators given network financial distress.</w:t>
      </w:r>
    </w:p>
    <w:p>
      <w:pPr>
        <w:pStyle w:val="ListParagraph"/>
        <w:numPr>
          <w:ilvl w:val="0"/>
          <w:numId w:val="2"/>
        </w:numPr>
        <w:spacing w:after="40" w:before="40"/>
      </w:pPr>
      <w:r>
        <w:rPr>
          <w:rFonts w:ascii="Arial" w:cs="Arial" w:eastAsia="Arial" w:hAnsi="Arial"/>
          <w:sz w:val="22"/>
          <w:szCs w:val="22"/>
        </w:rPr>
        <w:t xml:space="preserve">360 Painting + ProLift + Window Gang are natural second tier — service-vehicle models.</w:t>
      </w:r>
    </w:p>
    <w:p>
      <w:pPr>
        <w:pStyle w:val="ListParagraph"/>
        <w:numPr>
          <w:ilvl w:val="0"/>
          <w:numId w:val="2"/>
        </w:numPr>
        <w:spacing w:after="40" w:before="40"/>
      </w:pPr>
      <w:r>
        <w:rPr>
          <w:rFonts w:ascii="Arial" w:cs="Arial" w:eastAsia="Arial" w:hAnsi="Arial"/>
          <w:sz w:val="22"/>
          <w:szCs w:val="22"/>
        </w:rPr>
        <w:t xml:space="preserve">Maid Right is small (29-44 units) — deprioritize unless rolled in with RooterMan momentum.</w:t>
      </w:r>
    </w:p>
    <w:p>
      <w:pPr>
        <w:pStyle w:val="ListParagraph"/>
        <w:numPr>
          <w:ilvl w:val="0"/>
          <w:numId w:val="2"/>
        </w:numPr>
        <w:spacing w:after="40" w:before="40"/>
      </w:pPr>
      <w:r>
        <w:rPr>
          <w:rFonts w:ascii="Arial" w:cs="Arial" w:eastAsia="Arial" w:hAnsi="Arial"/>
          <w:sz w:val="22"/>
          <w:szCs w:val="22"/>
        </w:rPr>
        <w:t xml:space="preserve">Financial distress = avoid pitching franchisor-level rollout costs. Pitch is franchisee-economics, not CFO EBITDA.</w:t>
      </w:r>
    </w:p>
    <w:p>
      <w:pPr>
        <w:pStyle w:val="Heading2"/>
        <w:spacing w:after="140" w:before="280"/>
      </w:pPr>
      <w:r>
        <w:rPr>
          <w:rFonts w:ascii="Arial" w:cs="Arial" w:eastAsia="Arial" w:hAnsi="Arial"/>
          <w:b/>
          <w:bCs/>
          <w:color w:val="185FA5"/>
          <w:sz w:val="26"/>
          <w:szCs w:val="26"/>
        </w:rPr>
        <w:t xml:space="preserve">Warm path — where we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Target person</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Role</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Warm path</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Paul Flick</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CEO/Founder</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Roxanne Conrad</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COO</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Vivi Nellen</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VP</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 Accel-KKR work — open item</w:t>
            </w:r>
          </w:p>
          <w:p>
            <w:r>
              <w:rPr>
                <w:rFonts w:ascii="Arial" w:cs="Arial" w:eastAsia="Arial" w:hAnsi="Arial"/>
                <w:sz w:val="22"/>
                <w:szCs w:val="22"/>
              </w:rPr>
              <w:t xml:space="preserve">The Accel-KKR warm-path work remains open pending GPSI team's activation. Specific introduction targets and timing are in discussion. This document will be updated as that path materializes.</w:t>
            </w:r>
          </w:p>
        </w:tc>
      </w:tr>
    </w:tbl>
    <w:p>
      <w:pPr>
        <w:pStyle w:val="Heading2"/>
        <w:spacing w:after="140" w:before="280"/>
      </w:pPr>
      <w:r>
        <w:rPr>
          <w:rFonts w:ascii="Arial" w:cs="Arial" w:eastAsia="Arial" w:hAnsi="Arial"/>
          <w:b/>
          <w:bCs/>
          <w:color w:val="185FA5"/>
          <w:sz w:val="26"/>
          <w:szCs w:val="26"/>
        </w:rPr>
        <w:t xml:space="preserve">How I see this playing out</w:t>
      </w:r>
    </w:p>
    <w:p>
      <w:pPr>
        <w:spacing w:after="80" w:before="80"/>
      </w:pPr>
      <w:r>
        <w:rPr>
          <w:rFonts w:ascii="Arial" w:cs="Arial" w:eastAsia="Arial" w:hAnsi="Arial"/>
          <w:b/>
          <w:bCs/>
          <w:color w:val="185FA5"/>
          <w:sz w:val="22"/>
          <w:szCs w:val="22"/>
        </w:rPr>
        <w:t xml:space="preserve">Step 1. </w:t>
      </w:r>
      <w:r>
        <w:rPr>
          <w:rFonts w:ascii="Arial" w:cs="Arial" w:eastAsia="Arial" w:hAnsi="Arial"/>
          <w:sz w:val="22"/>
          <w:szCs w:val="22"/>
        </w:rPr>
        <w:t xml:space="preserve">RooterMan franchisee-level pilot — find 2-3 multi-territory RooterMan operators in GPSI territories.</w:t>
      </w:r>
    </w:p>
    <w:p>
      <w:pPr>
        <w:spacing w:after="80" w:before="80"/>
      </w:pPr>
      <w:r>
        <w:rPr>
          <w:rFonts w:ascii="Arial" w:cs="Arial" w:eastAsia="Arial" w:hAnsi="Arial"/>
          <w:b/>
          <w:bCs/>
          <w:color w:val="185FA5"/>
          <w:sz w:val="22"/>
          <w:szCs w:val="22"/>
        </w:rPr>
        <w:t xml:space="preserve">Step 2. </w:t>
      </w:r>
      <w:r>
        <w:rPr>
          <w:rFonts w:ascii="Arial" w:cs="Arial" w:eastAsia="Arial" w:hAnsi="Arial"/>
          <w:sz w:val="22"/>
          <w:szCs w:val="22"/>
        </w:rPr>
        <w:t xml:space="preserve">Quantify franchisee-level economics (route density, billing capture) to build social proof.</w:t>
      </w:r>
    </w:p>
    <w:p>
      <w:pPr>
        <w:spacing w:after="80" w:before="80"/>
      </w:pPr>
      <w:r>
        <w:rPr>
          <w:rFonts w:ascii="Arial" w:cs="Arial" w:eastAsia="Arial" w:hAnsi="Arial"/>
          <w:b/>
          <w:bCs/>
          <w:color w:val="185FA5"/>
          <w:sz w:val="22"/>
          <w:szCs w:val="22"/>
        </w:rPr>
        <w:t xml:space="preserve">Step 3. </w:t>
      </w:r>
      <w:r>
        <w:rPr>
          <w:rFonts w:ascii="Arial" w:cs="Arial" w:eastAsia="Arial" w:hAnsi="Arial"/>
          <w:sz w:val="22"/>
          <w:szCs w:val="22"/>
        </w:rPr>
        <w:t xml:space="preserve">Discovery with Marketing teammates on actual PSB pilot FSM — is it possible ServiceBridge could BE the pilot?</w:t>
      </w:r>
    </w:p>
    <w:p>
      <w:pPr>
        <w:spacing w:after="80" w:before="80"/>
      </w:pPr>
      <w:r>
        <w:rPr>
          <w:rFonts w:ascii="Arial" w:cs="Arial" w:eastAsia="Arial" w:hAnsi="Arial"/>
          <w:b/>
          <w:bCs/>
          <w:color w:val="185FA5"/>
          <w:sz w:val="22"/>
          <w:szCs w:val="22"/>
        </w:rPr>
        <w:t xml:space="preserve">Step 4. </w:t>
      </w:r>
      <w:r>
        <w:rPr>
          <w:rFonts w:ascii="Arial" w:cs="Arial" w:eastAsia="Arial" w:hAnsi="Arial"/>
          <w:sz w:val="22"/>
          <w:szCs w:val="22"/>
        </w:rPr>
        <w:t xml:space="preserve">Roxanne Conrad conversation — operator-level, not executive pitch. Position as franchisee retention tool.</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PSB's FSM landscape</w:t>
            </w:r>
          </w:p>
          <w:p>
            <w:r>
              <w:rPr>
                <w:rFonts w:ascii="Arial" w:cs="Arial" w:eastAsia="Arial" w:hAnsi="Arial"/>
                <w:sz w:val="22"/>
                <w:szCs w:val="22"/>
              </w:rPr>
              <w:t xml:space="preserve">No portfolio-wide FSM mandate — PSB's own Franchise Disclosure Document (FDD — the legal document franchisors file annually that lists required vendor costs and financial details) describes 'pilot-testing a tech solution.' RooterMan is 70% of the network. Network-level financial distress ($5.8M parent deficit, 15% RooterMan churn) means franchisor-level rollout funding is unlikely. The pitch shifts from displacement to franchisee-up adoption, particularly through retention angles. Nesto is customer loyalty (not FSM) — earlier confusion in our notes is corrected.</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RooterMan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 by operator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70% of PSB network at 720-750 locations. Plumbing operators often run ServiceTitan, FieldEdge, Housecall Pro, or homegrown. Highly fragmented. Volume play.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360 Painting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 vertical. Lower platform stickiness.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ProLift Garage Doors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Garage door specialty. Vertical-specific tools may be embedded.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Maid Right</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Cleaning vertical. ServiceMonster or similar likely.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The Grout Medic</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Tile/grout specialty. Small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Renew Crew</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Outdoor cleaning. Small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House Doctors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Handyman. Open.</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Window Gang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 cleaning. Smaller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The Designery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 varies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Kitchen/bath design. Smaller emerging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Nesto (PSB's own)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Customer loyalty platform — NOT FSM</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Franchisor product</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NOT FSM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I had Nesto wrong in earlier notes. Per Flick's own words, it's a customer loyalty play, not field service management. Corrected here.</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2"/>
        <w:spacing w:after="140" w:before="280"/>
      </w:pPr>
      <w:r>
        <w:rPr>
          <w:rFonts w:ascii="Arial" w:cs="Arial" w:eastAsia="Arial" w:hAnsi="Arial"/>
          <w:b/>
          <w:bCs/>
          <w:color w:val="185FA5"/>
          <w:sz w:val="26"/>
          <w:szCs w:val="26"/>
        </w:rPr>
        <w:t xml:space="preserve">How this shapes our approach</w:t>
      </w:r>
    </w:p>
    <w:p>
      <w:pPr>
        <w:spacing w:after="80" w:before="80"/>
      </w:pPr>
      <w:r>
        <w:rPr>
          <w:rFonts w:ascii="Arial" w:cs="Arial" w:eastAsia="Arial" w:hAnsi="Arial"/>
          <w:sz w:val="22"/>
          <w:szCs w:val="22"/>
        </w:rPr>
        <w:t xml:space="preserve">The headwind map tells us where to wedge in first. We lead with LOW headwind brands to build proof points, then bring those wins into MEDIUM headwind conversations. We avoid LOCKED brands entirely. HARD CONFLICT items get flagged to figure out together with the team — that's where partnership choreography matters most.</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PSB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Paul Flick has IFA visibility.</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Flick, Conrad, or Nellen attended/spoke. Look for any signals on the 'pilot tech' they're testing.</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Service World Expo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9-12, 2026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10,000+ residential contractors including plumbing operators. Best non-franchisor event for RooterMan operator outreach (70% of PSB network). ServiceBridge booth + targeted franchisee conversations.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PHCC CONNECT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19-22, 2026 — Hilton Milwaukee City Center</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Plumbing-Heating-Cooling Contractors Association. RooterMan operators attend. Vertical-specific channel into the franchisee base.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RooterMan operators (some have 5-10+ territories) attend. Better entry than franchisor-level given PSB's financial distress.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360 Painting franchisees attend. Vertical-specific channel.</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Flick (CEO) typical attendee. Watch for any signals on PSB's pilot tech vendor identity.</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Leadership &amp; Development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6-8,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Standard franchise development presence. Good intel-gathering on PSB's growth narrative given financial distress.</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Paul Flick (CEO/Founder)</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IFA presence. Active in franchise industry media.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Roxanne Conrad (COO)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Women We Admire 2025 list. Building public profile.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Vivi Nellen (VP)</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Franchise development conference visibility.</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PSB</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Engage with Conrad and Nellen content. Avoid leaning too heavily on franchisor-level economics given financial distress — emphasize franchisee retention and unit-level economics.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Franchisee-level case study in plumbing trade publications (Plumbing &amp; Mechanical, Contractor Magazine). Reach RooterMan franchisees directly through their trade channels.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Lower-fit at franchisor level given financial dynamics. Better fit at franchisee level with RooterMan multi-territory operators.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RooterMan operators (720-750 locations) are the volume play. Plumbing trade vertical = high franchisee receptivity to FSM tools that improve unit economics. Most powerful inbound channel.</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Susquehanna network, plumbing industry connections, franchise industry community. Marketing teammates likely has direct RooterMan/360 Painting/ProLift franchisee touchpoints today.</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Field tracking — who, where,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this section does</w:t>
            </w:r>
          </w:p>
          <w:p>
            <w:r>
              <w:rPr>
                <w:rFonts w:ascii="Arial" w:cs="Arial" w:eastAsia="Arial" w:hAnsi="Arial"/>
                <w:sz w:val="22"/>
                <w:szCs w:val="22"/>
              </w:rPr>
              <w:t xml:space="preserve">Three views that turn the engagement plan into something operational. First, where do existing GPSI telematics relationships give us a warm wedge into PSB. Second, which specific named leaders from our intel will be at which events — so we know exactly where to put ourselves alongside them. Third, where the wedge brand franchisees gather — corporate events, vertical-industry events, and brand-specific meetings — so we have multiple entry points beyond just the franchisor.</w:t>
            </w:r>
          </w:p>
        </w:tc>
      </w:tr>
    </w:tbl>
    <w:p>
      <w:pPr>
        <w:pStyle w:val="Heading2"/>
        <w:spacing w:after="140" w:before="280"/>
      </w:pPr>
      <w:r>
        <w:rPr>
          <w:rFonts w:ascii="Arial" w:cs="Arial" w:eastAsia="Arial" w:hAnsi="Arial"/>
          <w:b/>
          <w:bCs/>
          <w:color w:val="185FA5"/>
          <w:sz w:val="26"/>
          <w:szCs w:val="26"/>
        </w:rPr>
        <w:t xml:space="preserve">1. GPSI telematics client overlap</w:t>
      </w:r>
    </w:p>
    <w:p>
      <w:pPr>
        <w:spacing w:after="80" w:before="80"/>
      </w:pPr>
      <w:r>
        <w:rPr>
          <w:rFonts w:ascii="Arial" w:cs="Arial" w:eastAsia="Arial" w:hAnsi="Arial"/>
          <w:sz w:val="22"/>
          <w:szCs w:val="22"/>
        </w:rPr>
        <w:t xml:space="preserve">Existing GPSI customers within this franchisor's franchisee base are our warmest possible wedge — the brand relationship already exists, we extend it to ServiceBridge.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GPSI overlap potential here</w:t>
            </w:r>
          </w:p>
          <w:p>
            <w:r>
              <w:rPr>
                <w:rFonts w:ascii="Arial" w:cs="Arial" w:eastAsia="Arial" w:hAnsi="Arial"/>
                <w:sz w:val="22"/>
                <w:szCs w:val="22"/>
              </w:rPr>
              <w:t xml:space="preserve">PSB has no portfolio FSM mandate and franchisees are buying their own tools. RooterMan operators (70% of network, 720-750 locations) are the most likely existing GPSI customer base — plumbing vertical fleet-heavy. Pull the list with priority on RooterMan first.</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Open intel request to Marketing teammates:</w:t>
      </w:r>
    </w:p>
    <w:p>
      <w:pPr>
        <w:spacing w:after="80" w:before="80"/>
      </w:pPr>
      <w:r>
        <w:rPr>
          <w:rFonts w:ascii="Arial" w:cs="Arial" w:eastAsia="Arial" w:hAnsi="Arial"/>
          <w:i/>
          <w:iCs/>
          <w:sz w:val="22"/>
          <w:szCs w:val="22"/>
        </w:rPr>
        <w:t xml:space="preserve">Pull GPSI client list filtered to PSB brand franchisees, especially RooterMan operators. RooterMan is 70% of the network and plumbing operators are heavy fleet users — highest-likelihood GPSI overlap. Cross-reference 360 Painting next.</w:t>
      </w:r>
    </w:p>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pending intel from Marketing teammates. Once received, populated here.</w:t>
      </w:r>
    </w:p>
    <w:p>
      <w:pPr>
        <w:pStyle w:val="Heading2"/>
        <w:spacing w:after="140" w:before="280"/>
      </w:pPr>
      <w:r>
        <w:rPr>
          <w:rFonts w:ascii="Arial" w:cs="Arial" w:eastAsia="Arial" w:hAnsi="Arial"/>
          <w:b/>
          <w:bCs/>
          <w:color w:val="185FA5"/>
          <w:sz w:val="26"/>
          <w:szCs w:val="26"/>
        </w:rPr>
        <w:t xml:space="preserve">2. Where the people we want to meet will be</w:t>
      </w:r>
    </w:p>
    <w:p>
      <w:pPr>
        <w:spacing w:after="80" w:before="80"/>
      </w:pPr>
      <w:r>
        <w:rPr>
          <w:rFonts w:ascii="Arial" w:cs="Arial" w:eastAsia="Arial" w:hAnsi="Arial"/>
          <w:sz w:val="22"/>
          <w:szCs w:val="22"/>
        </w:rPr>
        <w:t xml:space="preserve">Cross-reference of leadership map against upcoming events. This is where the engagement actually happens — when a named target is in the same room we're in.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700"/>
        <w:gridCol w:w="25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Person</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they will be there</w:t>
            </w:r>
          </w:p>
        </w:tc>
        <w:tc>
          <w:tcPr>
            <w:tcW w:type="dxa" w:w="2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we engage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Paul Flick (CEO)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Annual 2027 (Feb 22-24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Standard CEO presence</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Watch for any signals on PSB's pilot tech vendor identity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RooterMan operators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PHCC CONNECT 2026 (Oct 19-22 Milwaukee)</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Plumbing-vertical channel for RooterMan</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PRIMARY franchisee-up engagement event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RooterMan operators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Service World Expo 2026 (Nov 9-12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10,000+ residential contractors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Best volume play for RooterMan operator outreach</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RooterMan operators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MUFC 2027 (Apr 26-29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RooterMan operators (some have 5-10+ territories)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Better than franchisor-level given financial distress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360 Painting operators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PCA EXPO 2027 (Feb 16-20 New Orleans)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Painting-vertical channel</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Direct franchisee outreach</w:t>
            </w:r>
          </w:p>
        </w:tc>
      </w:tr>
    </w:tbl>
    <w:p>
      <w:pPr>
        <w:pStyle w:val="Heading2"/>
        <w:spacing w:after="140" w:before="280"/>
      </w:pPr>
      <w:r>
        <w:rPr>
          <w:rFonts w:ascii="Arial" w:cs="Arial" w:eastAsia="Arial" w:hAnsi="Arial"/>
          <w:b/>
          <w:bCs/>
          <w:color w:val="185FA5"/>
          <w:sz w:val="26"/>
          <w:szCs w:val="26"/>
        </w:rPr>
        <w:t xml:space="preserve">3. Wedge brand field tracking</w:t>
      </w:r>
    </w:p>
    <w:p>
      <w:pPr>
        <w:spacing w:after="80" w:before="80"/>
      </w:pPr>
      <w:r>
        <w:rPr>
          <w:rFonts w:ascii="Arial" w:cs="Arial" w:eastAsia="Arial" w:hAnsi="Arial"/>
          <w:sz w:val="22"/>
          <w:szCs w:val="22"/>
        </w:rPr>
        <w:t xml:space="preserve">If the wedge brand is where we land first, then we need to know exactly where their franchisees and corporate teams gather. Three layers per brand: corporate events, franchisee gatherings, and vertical-industry events.</w:t>
      </w:r>
    </w:p>
    <w:p>
      <w:pPr>
        <w:spacing w:after="100" w:before="200"/>
      </w:pPr>
      <w:r>
        <w:rPr>
          <w:rFonts w:ascii="Arial" w:cs="Arial" w:eastAsia="Arial" w:hAnsi="Arial"/>
          <w:b/>
          <w:bCs/>
          <w:color w:val="1A2B3C"/>
          <w:sz w:val="22"/>
          <w:szCs w:val="22"/>
        </w:rPr>
        <w:t xml:space="preserve">RooterMan (~720-750 locations — primary wedge, 70% of PSB)</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PSB convention (date TBD — Marketing teammates to confirm)</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PHCC CONNECT 2026 (Oct 19-22) · Service World Expo 2026 (Nov 9-12) · MUFC 2027</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 World Expo · PHCC CONNECT · WWETT Show (drain/wastewater)</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Top 20 RooterMan operators by location count — request via Angie (micro-franchise list contact, Marketing teammates can route)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360 Painting — secondary wedge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PSB convention</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PCA EXPO 2027 (Feb 16-20 New Orleans) · MUFC 2027</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PCA EXPO · regional painting contractor association events</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360 Painting operators</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we use this section</w:t>
            </w:r>
          </w:p>
          <w:p>
            <w:r>
              <w:rPr>
                <w:rFonts w:ascii="Arial" w:cs="Arial" w:eastAsia="Arial" w:hAnsi="Arial"/>
                <w:sz w:val="22"/>
                <w:szCs w:val="22"/>
              </w:rPr>
              <w:t xml:space="preserve">This is the operational layer of the engagement plan. The named-person event map drives who we book meetings with and where we put ourselves. The GPSI overlap tells us which franchisees walk into the conversation already trusting the brand. The wedge brand tracking gives us multiple entry points beyond the franchisor — vertical events, brand meetings, regional gatherings. We update this section as Marketing teammates feeds intel and as event agendas get published.</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Where Marketing teammates have unique line of sight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we move from where we are to where we want to be</w:t>
            </w:r>
          </w:p>
          <w:p>
            <w:r>
              <w:rPr>
                <w:rFonts w:ascii="Arial" w:cs="Arial" w:eastAsia="Arial" w:hAnsi="Arial"/>
                <w:sz w:val="22"/>
                <w:szCs w:val="22"/>
              </w:rPr>
              <w:t xml:space="preserve">My read on PSB: there are gaps that public research can\'t close — these are the ones where the team\'s tribal knowledge, existing relationships, and access to internal data unlock our biggest leaps. Listed here as collective gaps, not directives. Marketing teammates are best placed to move these forward.</w:t>
            </w:r>
          </w:p>
        </w:tc>
      </w:tr>
    </w:tbl>
    <w:p>
      <w:pPr>
        <w:spacing w:after="80" w:before="80"/>
      </w:pPr>
      <w:r>
        <w:rPr>
          <w:rFonts w:ascii="Arial" w:cs="Arial" w:eastAsia="Arial" w:hAnsi="Arial"/>
          <w:sz w:val="22"/>
          <w:szCs w:val="22"/>
        </w:rPr>
        <w:t xml:space="preserve">A few things where Marketing teammates' tribal knowledge would help me move faster. We'll self-assign owners on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100"/>
        <w:gridCol w:w="2000"/>
        <w:gridCol w:w="2360"/>
      </w:tblGrid>
      <w:tr>
        <w:trPr>
          <w:tblHeader/>
        </w:trPr>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c>
          <w:tcPr>
            <w:tcW w:type="dxa" w:w="4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need to validate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value/guess</w:t>
            </w:r>
          </w:p>
        </w:tc>
        <w:tc>
          <w:tcPr>
            <w:tcW w:type="dxa" w:w="2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Owner (assign on call)</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PSB pilot FSM identity — what vendor/tool?</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Not publicly named</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Who decides tech at PSB — franchisor or franchisee?</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Unclear w/ distress</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Warm path to Flick/Conrad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None identified</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GPSI relationships with PSB brands</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Unknown</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Network spend on existing FSM</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No disclosure</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Actual tech count — revised from 4,950 to ~4,500</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4,300-4,700</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Telematics conflicts at any brand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None identified</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bl>
    <w:p>
      <w:pPr>
        <w:pBdr>
          <w:bottom w:val="single" w:color="185FA5" w:sz="6" w:space="1"/>
        </w:pBdr>
        <w:spacing w:after="120" w:before="120"/>
      </w:pPr>
    </w:p>
    <w:p>
      <w:r>
        <w:br w:type="page"/>
      </w: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PSB.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Engagement log</w:t>
      </w:r>
    </w:p>
    <w:p>
      <w:pPr>
        <w:spacing w:after="80" w:before="80"/>
      </w:pPr>
      <w:r>
        <w:rPr>
          <w:rFonts w:ascii="Arial" w:cs="Arial" w:eastAsia="Arial" w:hAnsi="Arial"/>
          <w:sz w:val="22"/>
          <w:szCs w:val="22"/>
        </w:rPr>
        <w:t xml:space="preserve">One row per meaningful interaction. Keep entries short — 30 seconds to add after a call.</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700"/>
        <w:gridCol w:w="2400"/>
        <w:gridCol w:w="1200"/>
        <w:gridCol w:w="2880"/>
      </w:tblGrid>
      <w:tr>
        <w:trPr>
          <w:tblHeader/>
        </w:trPr>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1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Who</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tried</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Signal</w:t>
            </w:r>
          </w:p>
        </w:tc>
        <w:tc>
          <w:tcPr>
            <w:tcW w:type="dxa" w:w="28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learned / next move</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Signal column shorthand: 🟢 strong (warm response, follow-up appetite) · 🟡 mixed (polite but no pull) · 🔴 cold (no response or pushback) · ⚪ pending (waiting on response).</w:t>
      </w:r>
    </w:p>
    <w:p>
      <w:pPr>
        <w:pStyle w:val="Heading2"/>
        <w:spacing w:after="140" w:before="280"/>
      </w:pPr>
      <w:r>
        <w:rPr>
          <w:rFonts w:ascii="Arial" w:cs="Arial" w:eastAsia="Arial" w:hAnsi="Arial"/>
          <w:b/>
          <w:bCs/>
          <w:color w:val="185FA5"/>
          <w:sz w:val="26"/>
          <w:szCs w:val="26"/>
        </w:rPr>
        <w:t xml:space="preserve">What's landing — what's not</w:t>
      </w:r>
    </w:p>
    <w:p>
      <w:pPr>
        <w:spacing w:after="80" w:before="80"/>
      </w:pPr>
      <w:r>
        <w:rPr>
          <w:rFonts w:ascii="Arial" w:cs="Arial" w:eastAsia="Arial" w:hAnsi="Arial"/>
          <w:sz w:val="22"/>
          <w:szCs w:val="22"/>
        </w:rPr>
        <w:t xml:space="preserve">Track which assumptions hold up in the field and which need to be revised. We update the rest of this package based on what we find here.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gridCol w:w="1980"/>
      </w:tblGrid>
      <w:tr>
        <w:trPr>
          <w:tblHeader/>
        </w:trPr>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Hypothesis we tested</w:t>
            </w:r>
          </w:p>
        </w:tc>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it actually played</w:t>
            </w:r>
          </w:p>
        </w:tc>
        <w:tc>
          <w:tcPr>
            <w:tcW w:type="dxa" w:w="19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Status</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Franchisee-up pitch lands better than mandate-down pitch given parent financial distress</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RooterMan operators (720-750 locations) are receptive to retention-focused tools</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Plumbing trade vertical channels reach franchisees better than franchisor channels</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PSB's 'pilot' tech vendor identity matters — confirm and avoid conflict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Susquehanna network warm path is real (vs theoretical)</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shorthand: ✓ confirmed · ✗ disproven · ↻ revising · — pending evidence.</w:t>
      </w:r>
    </w:p>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PSB,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PSB GTM Engagement Readiness  ·  April 24,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April 24,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PSB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PSB — GTM Engagement Readiness</dc:title>
  <dc:creator>Velocity GTM Co LLC</dc:creator>
  <cp:lastModifiedBy>Un-named</cp:lastModifiedBy>
  <cp:revision>1</cp:revision>
  <dcterms:created xsi:type="dcterms:W3CDTF">2026-04-27T19:00:07.726Z</dcterms:created>
  <dcterms:modified xsi:type="dcterms:W3CDTF">2026-04-27T19:00:07.726Z</dcterms:modified>
</cp:coreProperties>
</file>

<file path=docProps/custom.xml><?xml version="1.0" encoding="utf-8"?>
<Properties xmlns="http://schemas.openxmlformats.org/officeDocument/2006/custom-properties" xmlns:vt="http://schemas.openxmlformats.org/officeDocument/2006/docPropsVTypes"/>
</file>