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RESIBRANDS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#4 · FAST-CYCLE · Score 60.2</w:t>
      </w:r>
    </w:p>
    <w:p>
      <w:pPr>
        <w:spacing w:after="240" w:before="0"/>
        <w:jc w:val="center"/>
      </w:pPr>
      <w:r>
        <w:rPr>
          <w:rFonts w:ascii="Arial" w:cs="Arial" w:eastAsia="Arial" w:hAnsi="Arial"/>
          <w:i/>
          <w:iCs/>
          <w:color w:val="888780"/>
          <w:sz w:val="20"/>
          <w:szCs w:val="20"/>
        </w:rPr>
        <w:t xml:space="preserve">Single-decision-maker close · smaller scale · fast yes/no cycle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ResiBrands sits at rank #4</w:t>
            </w:r>
          </w:p>
          <w:p>
            <w:r>
              <w:rPr>
                <w:rFonts w:ascii="Arial" w:cs="Arial" w:eastAsia="Arial" w:hAnsi="Arial"/>
                <w:sz w:val="22"/>
                <w:szCs w:val="22"/>
              </w:rPr>
              <w:t xml:space="preserve">ResiBrands scored 59, actually higher than Authority and Neighborly on raw score, but the revenue rule deprioritized them to #5. Two engagement targets confirmed: Steven Montgomery (founder/CEO single decision authority) AND Codie Sanchez (co-owner + founder/CEO Contrarian Thinking, confirmed IFA26 speaker — substantial public profile). At ~$76K Year 1 @ 10% baseline / ~$191K @ 25% stretch, they're half the scale of PSB. The shape of this one is different than the strategic targets — ResiBrands is a tactical close, not a platform play. The advantage is speed. Steven Montgomery is founder/CEO with single-decision authority, and ResiConnect is front-end only. The FSM layer is franchisee-choice, so no displacement fight.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Single decision-maker in Steven Montgomery. Fast yes/no cycle.</w:t>
      </w:r>
    </w:p>
    <w:p>
      <w:pPr>
        <w:pStyle w:val="ListParagraph"/>
        <w:numPr>
          <w:ilvl w:val="0"/>
          <w:numId w:val="2"/>
        </w:numPr>
        <w:spacing w:after="40" w:before="40"/>
      </w:pPr>
      <w:r>
        <w:rPr>
          <w:rFonts w:ascii="Arial" w:cs="Arial" w:eastAsia="Arial" w:hAnsi="Arial"/>
          <w:sz w:val="22"/>
          <w:szCs w:val="22"/>
        </w:rPr>
        <w:t xml:space="preserve">ResiConnect is front-end only, not FSM. Franchisee-choice backend means no displacement fight.</w:t>
      </w:r>
    </w:p>
    <w:p>
      <w:pPr>
        <w:pStyle w:val="ListParagraph"/>
        <w:numPr>
          <w:ilvl w:val="0"/>
          <w:numId w:val="2"/>
        </w:numPr>
        <w:spacing w:after="40" w:before="40"/>
      </w:pPr>
      <w:r>
        <w:rPr>
          <w:rFonts w:ascii="Arial" w:cs="Arial" w:eastAsia="Arial" w:hAnsi="Arial"/>
          <w:sz w:val="22"/>
          <w:szCs w:val="22"/>
        </w:rPr>
        <w:t xml:space="preserve">That 1 Painter at ~380 units is where I think we wedge in.</w:t>
      </w:r>
    </w:p>
    <w:p>
      <w:pPr>
        <w:pStyle w:val="ListParagraph"/>
        <w:numPr>
          <w:ilvl w:val="0"/>
          <w:numId w:val="2"/>
        </w:numPr>
        <w:spacing w:after="40" w:before="40"/>
      </w:pPr>
      <w:r>
        <w:rPr>
          <w:rFonts w:ascii="Arial" w:cs="Arial" w:eastAsia="Arial" w:hAnsi="Arial"/>
          <w:sz w:val="22"/>
          <w:szCs w:val="22"/>
        </w:rPr>
        <w:t xml:space="preserve">Trivest plus angel ownership gives us different exit dynamics than standard PE.</w:t>
      </w:r>
    </w:p>
    <w:p>
      <w:pPr>
        <w:pStyle w:val="ListParagraph"/>
        <w:numPr>
          <w:ilvl w:val="0"/>
          <w:numId w:val="2"/>
        </w:numPr>
        <w:spacing w:after="40" w:before="40"/>
      </w:pPr>
      <w:r>
        <w:rPr>
          <w:rFonts w:ascii="Arial" w:cs="Arial" w:eastAsia="Arial" w:hAnsi="Arial"/>
          <w:sz w:val="22"/>
          <w:szCs w:val="22"/>
        </w:rPr>
        <w:t xml:space="preserve">My read is we run this in parallel with Five Star — both are small, decision-maker-accessible, tactical pipeline fills.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That 1 Painter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~380 units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FDD aggregator data</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 (network)</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~2,550 mid-point (range 1,900-3,300)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 (front-end)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ResiConnect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layer (backend)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 (likely)</w:t>
            </w:r>
          </w:p>
        </w:tc>
        <w:tc>
          <w:tcPr>
            <w:tcW w:type="dxa" w:w="14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8"/>
                <w:szCs w:val="18"/>
              </w:rPr>
              <w:t xml:space="preserve">🔴 UNCONFIRMED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Not publicly disclosed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Founder/CEO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Steven Montgomery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 of decision-makers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 (Montgomery)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Single founder authority</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Trivest + angel</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Trivest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95%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name reflects strategy ("Resi" = residential)</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How we got to this tech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Honest framing: this is a vertical-calibrated mid-point estimate, not verified headcount</w:t>
            </w:r>
          </w:p>
          <w:p>
            <w:r>
              <w:rPr>
                <w:rFonts w:ascii="Arial" w:cs="Arial" w:eastAsia="Arial" w:hAnsi="Arial"/>
                <w:sz w:val="22"/>
                <w:szCs w:val="22"/>
              </w:rPr>
              <w:t xml:space="preserve">ResiBrands' 5 brands include That 1 Painter (~380 units, primary), House Doctors handyman, plus three smaller brands. Painting and handyman verticals run lighter on techs (2-4 per franchisee). Range reflects newer-brand dynamics. FDDs do not typically disclose techs-per-franchisee — Item 20 lists locations, Item 19 lists financials, but average headcount is not a standard disclosure. So our 2,550 mid-point for ResiBrands is anchored on what's reasonable given the brand mix, but the actual number could land anywhere in the range below. Marketing teammates likely have direct headcount data through operator surveys, regional meeting reports, or franchisee scorecards that would tighten this from ESTIMATED to VERIFIED.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Range and corresponding Year 1 ARR @ 10%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80"/>
        <w:gridCol w:w="2380"/>
      </w:tblGrid>
      <w:tr>
        <w:trPr>
          <w:tblHeader/>
        </w:trPr>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Scenario</w:t>
            </w:r>
          </w:p>
        </w:tc>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 count</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10%</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Low (conservative)</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1,900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$56,886</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$142,215</w:t>
            </w:r>
          </w:p>
        </w:tc>
      </w:tr>
      <w:tr>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8"/>
                <w:szCs w:val="18"/>
              </w:rPr>
              <w:t xml:space="preserve">Mid (our headline)</w:t>
            </w:r>
          </w:p>
        </w:tc>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2,550</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$76,347</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$190,868</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High (stretch)</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3,300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$98,802</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$247,005</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Headline numbers throughout this package run off the mid-point. The low/high band is the honest defensive context — if a CFO asks how confident we are in 2,550 techs, the answer is "vertical-calibrated mid-point; range is 1,900-3,300 depending on actual tech-per-location at the brand mix; Marketing teammates have the real headcount data to tighten this." Reads honest, not defensive.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ResiBrands — franchisor-level ROI model</w:t>
      </w:r>
    </w:p>
    <w:p>
      <w:pPr>
        <w:spacing w:after="80" w:before="80"/>
      </w:pPr>
      <w:r>
        <w:rPr>
          <w:rFonts w:ascii="Arial" w:cs="Arial" w:eastAsia="Arial" w:hAnsi="Arial"/>
          <w:sz w:val="22"/>
          <w:szCs w:val="22"/>
        </w:rPr>
        <w:t xml:space="preserve">The model is straightforward — if ServiceBridge is adopted across ResiBrands's network, what does that do to ResiBrands's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2,550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$2.04M/yr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2,550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$1.47M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$20.4M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$76,347</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$152,694</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$229,041</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$190,868 and 3-year cumulative reaches $572,604.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ResiBrands — our conservative working baseline — franchisee-level exit value creation is ~$20M (10% penetration × $8K/tech EBITDA × 10x multiple). 3-year cumulative ServiceBridge investment is ~$229.04K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ResiBrands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255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$2.0M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638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$5.1M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$51M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6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#4 of 7  (FAST-CYCLE)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Montgomery still founder/CEO. Sanchez investor since 2022 (Trivest deal). No fresh tech-mandating transition.</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ResiBrands target confirmed at FCXC. ResiBrands ecosystem more active in Sanchez's Contrarian Thinking content channels than industry events.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Sanchez ecosystem highly active publicly (Contrarian Thinking platform). Montgomery operates founder-driven decision style. Brand momentum signals 'in build mode' more than 'in evaluation mode.'</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Sanchez accessibility via Contrarian Thinking ecosystem is a unique access vector — content collaboration angle, podcast appearance opportunity. Time-bound to her audience attention cycles.</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specific public RFP or vendor-dissatisfaction signal. Founder-led brands tend to decide quickly once they engage but don't show formal evaluation patterns publicly.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ResiBrands this week</w:t>
            </w:r>
          </w:p>
          <w:p>
            <w:r>
              <w:rPr>
                <w:rFonts w:ascii="Arial" w:cs="Arial" w:eastAsia="Arial" w:hAnsi="Arial"/>
                <w:sz w:val="22"/>
                <w:szCs w:val="22"/>
              </w:rPr>
              <w:t xml:space="preserve">ResiBrands sits in Phase 1 'opportunistic' status — we don't proactively activate, but Sanchez ecosystem is volatile and an opening could materialize. Stay alert; don't burn capacity proactively engaging.</w:t>
            </w:r>
          </w:p>
        </w:tc>
      </w:tr>
    </w:tbl>
    <w:p>
      <w:pPr>
        <w:spacing w:after="80" w:before="80"/>
      </w:pPr>
      <w:r>
        <w:rPr>
          <w:rFonts w:ascii="Arial" w:cs="Arial" w:eastAsia="Arial" w:hAnsi="Arial"/>
          <w:b w:val="false"/>
          <w:bCs w:val="false"/>
          <w:sz w:val="22"/>
          <w:szCs w:val="22"/>
        </w:rPr>
        <w:t xml:space="preserve">1. Wk 1-2: GPSI team → Trivest mapping in same warm path session. Sanchez's Contrarian Thinking ecosystem may have warm-intro overlap with GPSI team's network.</w:t>
      </w:r>
    </w:p>
    <w:p>
      <w:pPr>
        <w:spacing w:after="80" w:before="80"/>
      </w:pPr>
      <w:r>
        <w:rPr>
          <w:rFonts w:ascii="Arial" w:cs="Arial" w:eastAsia="Arial" w:hAnsi="Arial"/>
          <w:b w:val="false"/>
          <w:bCs w:val="false"/>
          <w:sz w:val="22"/>
          <w:szCs w:val="22"/>
        </w:rPr>
        <w:t xml:space="preserve">2. Wk 2-4: Both planned LinkedIn articles reach Sanchez's audience. Tag her if relevant. Watch for content engagement signals — like, comment, share = activation trigger.</w:t>
      </w:r>
    </w:p>
    <w:p>
      <w:pPr>
        <w:spacing w:after="80" w:before="80"/>
      </w:pPr>
      <w:r>
        <w:rPr>
          <w:rFonts w:ascii="Arial" w:cs="Arial" w:eastAsia="Arial" w:hAnsi="Arial"/>
          <w:b w:val="false"/>
          <w:bCs w:val="false"/>
          <w:sz w:val="22"/>
          <w:szCs w:val="22"/>
        </w:rPr>
        <w:t xml:space="preserve">3. Wk 3-6: Marketing teammates can probe for any existing GPSI relationship at That 1 Painter or Pink's Window Cleaning operators.</w:t>
      </w:r>
    </w:p>
    <w:p>
      <w:pPr>
        <w:spacing w:after="80" w:before="80"/>
      </w:pPr>
      <w:r>
        <w:rPr>
          <w:rFonts w:ascii="Arial" w:cs="Arial" w:eastAsia="Arial" w:hAnsi="Arial"/>
          <w:b w:val="false"/>
          <w:bCs w:val="false"/>
          <w:sz w:val="22"/>
          <w:szCs w:val="22"/>
        </w:rPr>
        <w:t xml:space="preserve">4. Opportunistic: If Sanchez podcast/content collab opportunity surfaces, take it. Otherwise hold for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ResiBrands is ranked 4 of 7 P1 targets — character: FAST-CYCLE</w:t>
            </w:r>
          </w:p>
          <w:p>
            <w:r>
              <w:rPr>
                <w:rFonts w:ascii="Arial" w:cs="Arial" w:eastAsia="Arial" w:hAnsi="Arial"/>
                <w:sz w:val="22"/>
                <w:szCs w:val="22"/>
              </w:rPr>
              <w:t xml:space="preserve">FAST-CYCLE character. Scored 60.2 (V2 weighted across 7 dimensions — see 'How we scored this' below) but half the revenue scale of our strategic targets. Good pipeline fill — single-decision-maker, fast cycle, reasonable deal size. Not a platform anchor.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That 1 Painter (~380 units) is the lead wedge — painter franchisees are fleet-enabled and benefit from route optimization. One conversation with Montgomery determines the entire ResiBrands story.</w:t>
      </w:r>
    </w:p>
    <w:p>
      <w:pPr>
        <w:pStyle w:val="ListParagraph"/>
        <w:numPr>
          <w:ilvl w:val="0"/>
          <w:numId w:val="2"/>
        </w:numPr>
        <w:spacing w:after="40" w:before="40"/>
      </w:pPr>
      <w:r>
        <w:rPr>
          <w:rFonts w:ascii="Arial" w:cs="Arial" w:eastAsia="Arial" w:hAnsi="Arial"/>
          <w:sz w:val="22"/>
          <w:szCs w:val="22"/>
        </w:rPr>
        <w:t xml:space="preserve">That 1 Painter multi-franchisee pilot — economics proof in 90 days.</w:t>
      </w:r>
    </w:p>
    <w:p>
      <w:pPr>
        <w:pStyle w:val="ListParagraph"/>
        <w:numPr>
          <w:ilvl w:val="0"/>
          <w:numId w:val="2"/>
        </w:numPr>
        <w:spacing w:after="40" w:before="40"/>
      </w:pPr>
      <w:r>
        <w:rPr>
          <w:rFonts w:ascii="Arial" w:cs="Arial" w:eastAsia="Arial" w:hAnsi="Arial"/>
          <w:sz w:val="22"/>
          <w:szCs w:val="22"/>
        </w:rPr>
        <w:t xml:space="preserve">Roll to other ResiBrands concepts after proof point.</w:t>
      </w:r>
    </w:p>
    <w:p>
      <w:pPr>
        <w:pStyle w:val="ListParagraph"/>
        <w:numPr>
          <w:ilvl w:val="0"/>
          <w:numId w:val="2"/>
        </w:numPr>
        <w:spacing w:after="40" w:before="40"/>
      </w:pPr>
      <w:r>
        <w:rPr>
          <w:rFonts w:ascii="Arial" w:cs="Arial" w:eastAsia="Arial" w:hAnsi="Arial"/>
          <w:sz w:val="22"/>
          <w:szCs w:val="22"/>
        </w:rPr>
        <w:t xml:space="preserve">Positioning: 'ServiceBridge sits behind ResiConnect' — not a replacement, a complement.</w:t>
      </w:r>
    </w:p>
    <w:p>
      <w:pPr>
        <w:pStyle w:val="ListParagraph"/>
        <w:numPr>
          <w:ilvl w:val="0"/>
          <w:numId w:val="2"/>
        </w:numPr>
        <w:spacing w:after="40" w:before="40"/>
      </w:pPr>
      <w:r>
        <w:rPr>
          <w:rFonts w:ascii="Arial" w:cs="Arial" w:eastAsia="Arial" w:hAnsi="Arial"/>
          <w:sz w:val="22"/>
          <w:szCs w:val="22"/>
        </w:rPr>
        <w:t xml:space="preserve">Trivest network + Montgomery's angel investors = potential warm-path leverage points.</w:t>
      </w:r>
    </w:p>
    <w:p>
      <w:pPr>
        <w:pStyle w:val="Heading2"/>
        <w:spacing w:after="140" w:before="280"/>
      </w:pPr>
      <w:r>
        <w:rPr>
          <w:rFonts w:ascii="Arial" w:cs="Arial" w:eastAsia="Arial" w:hAnsi="Arial"/>
          <w:b/>
          <w:bCs/>
          <w:color w:val="185FA5"/>
          <w:sz w:val="26"/>
          <w:szCs w:val="26"/>
        </w:rPr>
        <w:t xml:space="preserve">Warm path — where we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Target person</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Role</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Warm path</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Steven Montgomery</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Founder/CEO</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 — Trivest network needed</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 Accel-KKR work — open item</w:t>
            </w:r>
          </w:p>
          <w:p>
            <w:r>
              <w:rPr>
                <w:rFonts w:ascii="Arial" w:cs="Arial" w:eastAsia="Arial" w:hAnsi="Arial"/>
                <w:sz w:val="22"/>
                <w:szCs w:val="22"/>
              </w:rPr>
              <w:t xml:space="preserve">The Accel-KKR warm-path work remains open pending GPSI team's activation. Specific introduction targets and timing are in discussion. This document will be updated as that path materializes.</w:t>
            </w:r>
          </w:p>
        </w:tc>
      </w:tr>
    </w:tbl>
    <w:p>
      <w:pPr>
        <w:pStyle w:val="Heading2"/>
        <w:spacing w:after="140" w:before="280"/>
      </w:pPr>
      <w:r>
        <w:rPr>
          <w:rFonts w:ascii="Arial" w:cs="Arial" w:eastAsia="Arial" w:hAnsi="Arial"/>
          <w:b/>
          <w:bCs/>
          <w:color w:val="185FA5"/>
          <w:sz w:val="26"/>
          <w:szCs w:val="26"/>
        </w:rPr>
        <w:t xml:space="preserve">How I see this playing out</w:t>
      </w:r>
    </w:p>
    <w:p>
      <w:pPr>
        <w:spacing w:after="80" w:before="80"/>
      </w:pPr>
      <w:r>
        <w:rPr>
          <w:rFonts w:ascii="Arial" w:cs="Arial" w:eastAsia="Arial" w:hAnsi="Arial"/>
          <w:b/>
          <w:bCs/>
          <w:color w:val="185FA5"/>
          <w:sz w:val="22"/>
          <w:szCs w:val="22"/>
        </w:rPr>
        <w:t xml:space="preserve">Step 1. </w:t>
      </w:r>
      <w:r>
        <w:rPr>
          <w:rFonts w:ascii="Arial" w:cs="Arial" w:eastAsia="Arial" w:hAnsi="Arial"/>
          <w:sz w:val="22"/>
          <w:szCs w:val="22"/>
        </w:rPr>
        <w:t xml:space="preserve">Find warm path to Montgomery via GPSI team's franchise industry or Trivest operating-partner network.</w:t>
      </w:r>
    </w:p>
    <w:p>
      <w:pPr>
        <w:spacing w:after="80" w:before="80"/>
      </w:pPr>
      <w:r>
        <w:rPr>
          <w:rFonts w:ascii="Arial" w:cs="Arial" w:eastAsia="Arial" w:hAnsi="Arial"/>
          <w:b/>
          <w:bCs/>
          <w:color w:val="185FA5"/>
          <w:sz w:val="22"/>
          <w:szCs w:val="22"/>
        </w:rPr>
        <w:t xml:space="preserve">Step 2. </w:t>
      </w:r>
      <w:r>
        <w:rPr>
          <w:rFonts w:ascii="Arial" w:cs="Arial" w:eastAsia="Arial" w:hAnsi="Arial"/>
          <w:sz w:val="22"/>
          <w:szCs w:val="22"/>
        </w:rPr>
        <w:t xml:space="preserve">Single meeting pitch: ServiceBridge behind ResiConnect for That 1 Painter pilot.</w:t>
      </w:r>
    </w:p>
    <w:p>
      <w:pPr>
        <w:spacing w:after="80" w:before="80"/>
      </w:pPr>
      <w:r>
        <w:rPr>
          <w:rFonts w:ascii="Arial" w:cs="Arial" w:eastAsia="Arial" w:hAnsi="Arial"/>
          <w:b/>
          <w:bCs/>
          <w:color w:val="185FA5"/>
          <w:sz w:val="22"/>
          <w:szCs w:val="22"/>
        </w:rPr>
        <w:t xml:space="preserve">Step 3. </w:t>
      </w:r>
      <w:r>
        <w:rPr>
          <w:rFonts w:ascii="Arial" w:cs="Arial" w:eastAsia="Arial" w:hAnsi="Arial"/>
          <w:sz w:val="22"/>
          <w:szCs w:val="22"/>
        </w:rPr>
        <w:t xml:space="preserve">90-day economic proof.</w:t>
      </w:r>
    </w:p>
    <w:p>
      <w:pPr>
        <w:spacing w:after="80" w:before="80"/>
      </w:pPr>
      <w:r>
        <w:rPr>
          <w:rFonts w:ascii="Arial" w:cs="Arial" w:eastAsia="Arial" w:hAnsi="Arial"/>
          <w:b/>
          <w:bCs/>
          <w:color w:val="185FA5"/>
          <w:sz w:val="22"/>
          <w:szCs w:val="22"/>
        </w:rPr>
        <w:t xml:space="preserve">Step 4. </w:t>
      </w:r>
      <w:r>
        <w:rPr>
          <w:rFonts w:ascii="Arial" w:cs="Arial" w:eastAsia="Arial" w:hAnsi="Arial"/>
          <w:sz w:val="22"/>
          <w:szCs w:val="22"/>
        </w:rPr>
        <w:t xml:space="preserve">Expansion to remaining 4 ResiBrands concepts.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ResiBrands's FSM landscape</w:t>
            </w:r>
          </w:p>
          <w:p>
            <w:r>
              <w:rPr>
                <w:rFonts w:ascii="Arial" w:cs="Arial" w:eastAsia="Arial" w:hAnsi="Arial"/>
                <w:sz w:val="22"/>
                <w:szCs w:val="22"/>
              </w:rPr>
              <w:t xml:space="preserve">ResiBrands runs ResiConnect — but this is front-end only (lead routing/customer intake), NOT FSM. The actual field service backend is franchisee-choice across all 5 brands. No displacement fight at the franchisor level. Steven Montgomery has single decision authority — fast yes/no. Tactical close, not a strategic platform play.</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That 1 Painter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~380 units. Volume play. Painting vertical = lower platform stickiness. Best wedge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BoxDrop Mattress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Mattress retail/delivery. Specialty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Pink's Window Services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cleaning. Smaller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Sploosh</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Pressure washing. Small/emerging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Patch Boys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Drywall repair. Smaller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ResiConnect (front-end only)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ResiBrands proprietary</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 (front-end)</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Lead routing and customer intake. NOT FSM. ServiceBridge slots in cleanly behind ResiConnect — no displacement fight.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2"/>
        <w:spacing w:after="140" w:before="280"/>
      </w:pPr>
      <w:r>
        <w:rPr>
          <w:rFonts w:ascii="Arial" w:cs="Arial" w:eastAsia="Arial" w:hAnsi="Arial"/>
          <w:b/>
          <w:bCs/>
          <w:color w:val="185FA5"/>
          <w:sz w:val="26"/>
          <w:szCs w:val="26"/>
        </w:rPr>
        <w:t xml:space="preserve">How this shapes our approach</w:t>
      </w:r>
    </w:p>
    <w:p>
      <w:pPr>
        <w:spacing w:after="80" w:before="80"/>
      </w:pPr>
      <w:r>
        <w:rPr>
          <w:rFonts w:ascii="Arial" w:cs="Arial" w:eastAsia="Arial" w:hAnsi="Arial"/>
          <w:sz w:val="22"/>
          <w:szCs w:val="22"/>
        </w:rPr>
        <w:t xml:space="preserve">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ResiBrands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 Montgomery has growing IFA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Montgomery attended/spoke. ResiBrands at this size starts showing up in IFA emerging brand tracks.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EVENT — That 1 Painter (~380 units) franchisees attend. Painting Contractors Association is the right vertical channel. Direct franchisee-level outreach + ServiceBridge booth.</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 Montgomery primary target. ResiBrands fits emerging franchisor profile perfectly. Sutton (Empower's CDO) is IFA Foundation Trustee — possible overlap opportunity.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Montgomery growing IFA visibility as ResiBrands scales. Reach him directly.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That 1 Painter operators attend.</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Locked-in engagement opportunity 18+ months out. Sutton likely attendee (former chair, IFA Foundation Trustee).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Steven Montgomery (Founder/CEO)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SINGLE decision authority. His content, his speaking calendar = the entire roadmap. LinkedIn engagement here is highest leverage.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ResiBrands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Montgomery is the entire decision tree. Direct, authentic LinkedIn engagement with his content. Comments that demonstrate understanding of franchise unit economics resonate. ServiceBridge content targeting founder-CEOs lands.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Painter-vertical trade press (PaintPRO, American Painting Contractor) for franchisee-level proof. Trivest-portfolio thought leadership for executive-level visibility.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Good fit. Single-founder franchisor = personal relationship matters. Coin + handwritten note delivered in person at IFA = memorable touch.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That 1 Painter (~380 units) is the volume. Painter franchisees are price-sensitive but receptive to tools that drive route density. Inbound signal from That 1 Painter operators is high-leverage.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Trivest network, PCA painting industry connections, Texas franchise community (ResiBrands Austin-based). GPSI team likely has indirect paths.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Field tracking — who, where,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this section does</w:t>
            </w:r>
          </w:p>
          <w:p>
            <w:r>
              <w:rPr>
                <w:rFonts w:ascii="Arial" w:cs="Arial" w:eastAsia="Arial" w:hAnsi="Arial"/>
                <w:sz w:val="22"/>
                <w:szCs w:val="22"/>
              </w:rPr>
              <w:t xml:space="preserve">Three views that turn the engagement plan into something operational. First, where do existing GPSI telematics relationships give us a warm wedge into ResiBrands. Second, which specific named leaders from our intel will be at which events — so we know exactly where to put ourselves alongside them. Third, where the wedge brand franchisees gather — corporate events, vertical-industry events, and brand-specific meetings — so we have multiple entry points beyond just the franchisor.</w:t>
            </w:r>
          </w:p>
        </w:tc>
      </w:tr>
    </w:tbl>
    <w:p>
      <w:pPr>
        <w:pStyle w:val="Heading2"/>
        <w:spacing w:after="140" w:before="280"/>
      </w:pPr>
      <w:r>
        <w:rPr>
          <w:rFonts w:ascii="Arial" w:cs="Arial" w:eastAsia="Arial" w:hAnsi="Arial"/>
          <w:b/>
          <w:bCs/>
          <w:color w:val="185FA5"/>
          <w:sz w:val="26"/>
          <w:szCs w:val="26"/>
        </w:rPr>
        <w:t xml:space="preserve">1. GPSI telematics client overlap</w:t>
      </w:r>
    </w:p>
    <w:p>
      <w:pPr>
        <w:spacing w:after="80" w:before="80"/>
      </w:pPr>
      <w:r>
        <w:rPr>
          <w:rFonts w:ascii="Arial" w:cs="Arial" w:eastAsia="Arial" w:hAnsi="Arial"/>
          <w:sz w:val="22"/>
          <w:szCs w:val="22"/>
        </w:rPr>
        <w:t xml:space="preserve">Existing GPSI customers within this franchisor's franchisee base are our warmest possible wedge — the brand relationship already exists, we extend it to ServiceBridge.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GPSI overlap potential here</w:t>
            </w:r>
          </w:p>
          <w:p>
            <w:r>
              <w:rPr>
                <w:rFonts w:ascii="Arial" w:cs="Arial" w:eastAsia="Arial" w:hAnsi="Arial"/>
                <w:sz w:val="22"/>
                <w:szCs w:val="22"/>
              </w:rPr>
              <w:t xml:space="preserve">Painting brands like That 1 Painter typically don't run as fleet-heavy as plumbing/HVAC, so GPSI overlap may be lower. But some larger That 1 Painter operators (multi-territory) likely have telematics. Worth checking but not the highest-priority list.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Open intel request to Marketing teammates:</w:t>
      </w:r>
    </w:p>
    <w:p>
      <w:pPr>
        <w:spacing w:after="80" w:before="80"/>
      </w:pPr>
      <w:r>
        <w:rPr>
          <w:rFonts w:ascii="Arial" w:cs="Arial" w:eastAsia="Arial" w:hAnsi="Arial"/>
          <w:i/>
          <w:iCs/>
          <w:sz w:val="22"/>
          <w:szCs w:val="22"/>
        </w:rPr>
        <w:t xml:space="preserve">Pull GPSI client list filtered to ResiBrands franchisees. Lower expected overlap given painting/window cleaning vertical norms. That 1 Painter multi-territory operators are best bet.</w:t>
      </w:r>
    </w:p>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pending intel from Marketing teammates. Once received, populated here.</w:t>
      </w:r>
    </w:p>
    <w:p>
      <w:pPr>
        <w:pStyle w:val="Heading2"/>
        <w:spacing w:after="140" w:before="280"/>
      </w:pPr>
      <w:r>
        <w:rPr>
          <w:rFonts w:ascii="Arial" w:cs="Arial" w:eastAsia="Arial" w:hAnsi="Arial"/>
          <w:b/>
          <w:bCs/>
          <w:color w:val="185FA5"/>
          <w:sz w:val="26"/>
          <w:szCs w:val="26"/>
        </w:rPr>
        <w:t xml:space="preserve">2. Where the people we want to meet will be</w:t>
      </w:r>
    </w:p>
    <w:p>
      <w:pPr>
        <w:spacing w:after="80" w:before="80"/>
      </w:pPr>
      <w:r>
        <w:rPr>
          <w:rFonts w:ascii="Arial" w:cs="Arial" w:eastAsia="Arial" w:hAnsi="Arial"/>
          <w:sz w:val="22"/>
          <w:szCs w:val="22"/>
        </w:rPr>
        <w:t xml:space="preserve">Cross-reference of leadership map against upcoming events. This is where the engagement actually happens — when a named target is in the same room we're in.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5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Person</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they will be there</w:t>
            </w:r>
          </w:p>
        </w:tc>
        <w:tc>
          <w:tcPr>
            <w:tcW w:type="dxa" w:w="2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we engage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Steven Montgomery (founder/CEO)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Emerging Franchisor Conference 2026 (Nov 16-18 Nashville)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ResiBrands fits emerging franchisor profile perfectly. Sutton (Empower CDO) chairs.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Single-decision authority + chair-overlap with Sutton = high-leverage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Steven Montgomery (founder/CEO)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Growing IFA visibility as ResiBrands scales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Direct CEO touchpoint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Steven Montgomery (founder/CEO)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Emerging Franchisor Conference 2027 (Nov 15-17 Nashville)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Continued chair-overlap opportunity</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12-month locked-in target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That 1 Painter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PCA EXPO 2027 (Feb 16-20 New Orleans)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Painting-vertical channel</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franchisee event for ResiBrands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That 1 Painter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MUFC 2027 (Apr 26-29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operators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Volume franchisee touchpoint</w:t>
            </w:r>
          </w:p>
        </w:tc>
      </w:tr>
    </w:tbl>
    <w:p>
      <w:pPr>
        <w:pStyle w:val="Heading2"/>
        <w:spacing w:after="140" w:before="280"/>
      </w:pPr>
      <w:r>
        <w:rPr>
          <w:rFonts w:ascii="Arial" w:cs="Arial" w:eastAsia="Arial" w:hAnsi="Arial"/>
          <w:b/>
          <w:bCs/>
          <w:color w:val="185FA5"/>
          <w:sz w:val="26"/>
          <w:szCs w:val="26"/>
        </w:rPr>
        <w:t xml:space="preserve">3. Wedge brand field tracking</w:t>
      </w:r>
    </w:p>
    <w:p>
      <w:pPr>
        <w:spacing w:after="80" w:before="80"/>
      </w:pPr>
      <w:r>
        <w:rPr>
          <w:rFonts w:ascii="Arial" w:cs="Arial" w:eastAsia="Arial" w:hAnsi="Arial"/>
          <w:sz w:val="22"/>
          <w:szCs w:val="22"/>
        </w:rPr>
        <w:t xml:space="preserve">If the wedge brand is where we land first, then we need to know exactly where their franchisees and corporate teams gather. Three layers per brand: corporate events, franchisee gatherings, and vertical-industry events.</w:t>
      </w:r>
    </w:p>
    <w:p>
      <w:pPr>
        <w:spacing w:after="100" w:before="200"/>
      </w:pPr>
      <w:r>
        <w:rPr>
          <w:rFonts w:ascii="Arial" w:cs="Arial" w:eastAsia="Arial" w:hAnsi="Arial"/>
          <w:b/>
          <w:bCs/>
          <w:color w:val="1A2B3C"/>
          <w:sz w:val="22"/>
          <w:szCs w:val="22"/>
        </w:rPr>
        <w:t xml:space="preserve">That 1 Painter (~380 units — primary wedge)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ResiBrands annual event (date TBD — Marketing teammates to confirm)</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PCA EXPO 2027 (Feb 16-20 New Orleans)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PCA EXPO · PCA Commercial Contractors Conference (Nov annually)</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Top That 1 Painter operators by territory count</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use this section</w:t>
            </w:r>
          </w:p>
          <w:p>
            <w:r>
              <w:rPr>
                <w:rFonts w:ascii="Arial" w:cs="Arial" w:eastAsia="Arial" w:hAnsi="Arial"/>
                <w:sz w:val="22"/>
                <w:szCs w:val="22"/>
              </w:rPr>
              <w:t xml:space="preserve">This is the operational layer of the engagement plan. The named-person event map drives who we book meetings with and where we put ourselves. The GPSI overlap tells us which franchisees walk into the conversation already trusting the brand. The wedge brand tracking gives us multiple entry points beyond the franchisor — vertical events, brand meetings, regional gatherings. We update this section as Marketing teammates feeds intel and as event agendas get published.</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Where Marketing teammates have unique line of 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move from where we are to where we want to be</w:t>
            </w:r>
          </w:p>
          <w:p>
            <w:r>
              <w:rPr>
                <w:rFonts w:ascii="Arial" w:cs="Arial" w:eastAsia="Arial" w:hAnsi="Arial"/>
                <w:sz w:val="22"/>
                <w:szCs w:val="22"/>
              </w:rPr>
              <w:t xml:space="preserve">My read on ResiBrands: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pPr>
        <w:spacing w:after="80" w:before="80"/>
      </w:pPr>
      <w:r>
        <w:rPr>
          <w:rFonts w:ascii="Arial" w:cs="Arial" w:eastAsia="Arial" w:hAnsi="Arial"/>
          <w:sz w:val="22"/>
          <w:szCs w:val="22"/>
        </w:rPr>
        <w:t xml:space="preserve">A few things where Marketing teammates' tribal knowledge would help me move faster. We'll self-assign owners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2000"/>
        <w:gridCol w:w="2360"/>
      </w:tblGrid>
      <w:tr>
        <w:trPr>
          <w:tblHeader/>
        </w:trPr>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c>
          <w:tcPr>
            <w:tcW w:type="dxa" w:w="4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need to validate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value/guess</w:t>
            </w:r>
          </w:p>
        </w:tc>
        <w:tc>
          <w:tcPr>
            <w:tcW w:type="dxa" w:w="2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Owner (assign on call)</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backend at ResiBrands — what do franchisees actually run?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Franchisee-choice est.</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Warm path to Steven Montgomery</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Tech count validation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2,550</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Trivest exit timing signals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Unknown</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bl>
    <w:p>
      <w:pPr>
        <w:pBdr>
          <w:bottom w:val="single" w:color="185FA5" w:sz="6" w:space="1"/>
        </w:pBdr>
        <w:spacing w:after="120" w:before="120"/>
      </w:pPr>
    </w:p>
    <w:p>
      <w:r>
        <w:br w:type="page"/>
      </w: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ResiBrands.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Engagement log</w:t>
      </w:r>
    </w:p>
    <w:p>
      <w:pPr>
        <w:spacing w:after="80" w:before="80"/>
      </w:pPr>
      <w:r>
        <w:rPr>
          <w:rFonts w:ascii="Arial" w:cs="Arial" w:eastAsia="Arial" w:hAnsi="Arial"/>
          <w:sz w:val="22"/>
          <w:szCs w:val="22"/>
        </w:rPr>
        <w:t xml:space="preserve">One row per meaningful interaction. Keep entries short — 30 seconds to add after a call.</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2400"/>
        <w:gridCol w:w="1200"/>
        <w:gridCol w:w="2880"/>
      </w:tblGrid>
      <w:tr>
        <w:trPr>
          <w:tblHeader/>
        </w:trPr>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1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Who</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tried</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Signal</w:t>
            </w:r>
          </w:p>
        </w:tc>
        <w:tc>
          <w:tcPr>
            <w:tcW w:type="dxa" w:w="28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learned / next move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Signal column shorthand: 🟢 strong (warm response, follow-up appetite) · 🟡 mixed (polite but no pull) · 🔴 cold (no response or pushback) · ⚪ pending (waiting on response).</w:t>
      </w:r>
    </w:p>
    <w:p>
      <w:pPr>
        <w:pStyle w:val="Heading2"/>
        <w:spacing w:after="140" w:before="280"/>
      </w:pPr>
      <w:r>
        <w:rPr>
          <w:rFonts w:ascii="Arial" w:cs="Arial" w:eastAsia="Arial" w:hAnsi="Arial"/>
          <w:b/>
          <w:bCs/>
          <w:color w:val="185FA5"/>
          <w:sz w:val="26"/>
          <w:szCs w:val="26"/>
        </w:rPr>
        <w:t xml:space="preserve">What's landing — what's not</w:t>
      </w:r>
    </w:p>
    <w:p>
      <w:pPr>
        <w:spacing w:after="80" w:before="80"/>
      </w:pPr>
      <w:r>
        <w:rPr>
          <w:rFonts w:ascii="Arial" w:cs="Arial" w:eastAsia="Arial" w:hAnsi="Arial"/>
          <w:sz w:val="22"/>
          <w:szCs w:val="22"/>
        </w:rPr>
        <w:t xml:space="preserve">Track which assumptions hold up in the field and which need to be revised. We update the rest of this package based on what we find here.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gridCol w:w="1980"/>
      </w:tblGrid>
      <w:tr>
        <w:trPr>
          <w:tblHeader/>
        </w:trPr>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Hypothesis we tested</w:t>
            </w:r>
          </w:p>
        </w:tc>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it actually played</w:t>
            </w:r>
          </w:p>
        </w:tc>
        <w:tc>
          <w:tcPr>
            <w:tcW w:type="dxa" w:w="19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Status</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Steven Montgomery single decision authority means fast yes/no cycle</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That 1 Painter (~380 units) is the right wedge brand</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ResiConnect front-end + ServiceBridge backend story works (no displacement fight)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Trivest network warm path is viable</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shorthand: ✓ confirmed · ✗ disproven · ↻ revising · — pending evidence.</w:t>
      </w:r>
    </w:p>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ResiBrands,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ResiBrands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RESIBRANDS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ResiBrands — GTM Engagement Readiness</dc:title>
  <dc:creator>Velocity GTM Co LLC</dc:creator>
  <cp:lastModifiedBy>Un-named</cp:lastModifiedBy>
  <cp:revision>1</cp:revision>
  <dcterms:created xsi:type="dcterms:W3CDTF">2026-04-27T19:00:07.926Z</dcterms:created>
  <dcterms:modified xsi:type="dcterms:W3CDTF">2026-04-27T19:00:07.926Z</dcterms:modified>
</cp:coreProperties>
</file>

<file path=docProps/custom.xml><?xml version="1.0" encoding="utf-8"?>
<Properties xmlns="http://schemas.openxmlformats.org/officeDocument/2006/custom-properties" xmlns:vt="http://schemas.openxmlformats.org/officeDocument/2006/docPropsVTypes"/>
</file>