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1-800 BOARDUP</w:t>
      </w:r>
    </w:p>
    <w:p>
      <w:pPr>
        <w:spacing w:after="120"/>
        <w:jc w:val="center"/>
      </w:pPr>
      <w:r>
        <w:rPr>
          <w:i/>
          <w:iCs/>
          <w:color w:val="6B7A8B"/>
          <w:sz w:val="17"/>
          <w:szCs w:val="17"/>
        </w:rPr>
        <w:t xml:space="preserve">Parent: BELFOR Franchise Group  ·  Vertical: Emergency board-up &amp; secure-the-property services</w:t>
      </w:r>
    </w:p>
    <w:p>
      <w:pPr>
        <w:spacing w:after="120"/>
        <w:jc w:val="center"/>
      </w:pPr>
      <w:r>
        <w:rPr>
          <w:i/>
          <w:iCs/>
          <w:color w:val="6B7A8B"/>
          <w:sz w:val="17"/>
          <w:szCs w:val="17"/>
        </w:rPr>
        <w:t xml:space="preserve">V2 Score: 96  ·  Tier: T2 LEAD PILOT — ENGAGE  ·  P2 · #1 · DE-FACTO ANCHOR</w:t>
      </w:r>
    </w:p>
    <w:p>
      <w:pPr>
        <w:spacing w:after="60" w:before="60"/>
      </w:pPr>
      <w:r>
        <w:t xml:space="preserve"/>
      </w:r>
    </w:p>
    <w:tbl>
      <w:tblPr>
        <w:tblW w:type="dxa" w:w="10080"/>
        <w:tblBorders>
          <w:top w:val="single" w:color="0B3D6B" w:sz="0"/>
          <w:left w:val="single" w:color="0B3D6B" w:sz="0"/>
          <w:bottom w:val="single" w:color="0B3D6B" w:sz="0"/>
          <w:right w:val="single" w:color="0B3D6B" w:sz="0"/>
          <w:insideH w:val="single" w:color="auto" w:sz="4"/>
          <w:insideV w:val="single" w:color="auto" w:sz="4"/>
        </w:tblBorders>
      </w:tblPr>
      <w:tblGrid>
        <w:gridCol w:w="10080"/>
      </w:tblGrid>
      <w:tr>
        <w:tc>
          <w:tcPr>
            <w:tcW w:type="dxa" w:w="10080"/>
            <w:tcBorders>
              <w:top w:val="single" w:color="0B3D6B" w:sz="4"/>
              <w:left w:val="single" w:color="0B3D6B" w:sz="4"/>
              <w:bottom w:val="single" w:color="0B3D6B" w:sz="4"/>
              <w:right w:val="single" w:color="0B3D6B" w:sz="4"/>
            </w:tcBorders>
            <w:shd w:fill="0B3D6B" w:val="clear"/>
            <w:tcMar>
              <w:top w:type="dxa" w:w="180"/>
              <w:left w:type="dxa" w:w="280"/>
              <w:bottom w:type="dxa" w:w="180"/>
              <w:right w:type="dxa" w:w="280"/>
            </w:tcMar>
            <w:vAlign w:val="center"/>
          </w:tcPr>
          <w:p>
            <w:pPr>
              <w:jc w:val="center"/>
            </w:pPr>
            <w:r>
              <w:rPr>
                <w:b/>
                <w:bCs/>
                <w:color w:val="FFFFFF"/>
                <w:spacing w:val="80"/>
                <w:sz w:val="24"/>
                <w:szCs w:val="24"/>
              </w:rPr>
              <w:t xml:space="preserve">⭐  NORTHSTAR REFERENCE  ·  P2 PATTERN LIBRARY</w:t>
            </w:r>
          </w:p>
          <w:p>
            <w:pPr>
              <w:spacing w:before="80"/>
              <w:jc w:val="center"/>
            </w:pPr>
            <w:r>
              <w:rPr>
                <w:i/>
                <w:iCs/>
                <w:color w:val="FFFFFF"/>
                <w:sz w:val="16"/>
                <w:szCs w:val="16"/>
              </w:rPr>
              <w:t xml:space="preserve">Use as reference pattern for greenfield engagement at Track 1 P1 brands  ·  Not currently an active engagement target</w:t>
            </w:r>
          </w:p>
        </w:tc>
      </w:tr>
    </w:tbl>
    <w:p>
      <w:pPr>
        <w:spacing w:after="60" w:before="60"/>
      </w:pPr>
      <w:r>
        <w:t xml:space="preserve"/>
      </w:r>
    </w:p>
    <w:tbl>
      <w:tblPr>
        <w:tblW w:type="dxa" w:w="10080"/>
        <w:tblBorders>
          <w:top w:val="single" w:color="C8501F" w:sz="0"/>
          <w:left w:val="single" w:color="C8501F" w:sz="0"/>
          <w:bottom w:val="single" w:color="C8501F" w:sz="0"/>
          <w:right w:val="single" w:color="C8501F" w:sz="0"/>
          <w:insideH w:val="single" w:color="auto" w:sz="4"/>
          <w:insideV w:val="single" w:color="auto" w:sz="4"/>
        </w:tblBorders>
      </w:tblPr>
      <w:tblGrid>
        <w:gridCol w:w="10080"/>
      </w:tblGrid>
      <w:tr>
        <w:tc>
          <w:tcPr>
            <w:tcW w:type="dxa" w:w="10080"/>
            <w:tcBorders>
              <w:top w:val="single" w:color="C8501F" w:sz="4"/>
              <w:left w:val="single" w:color="C8501F" w:sz="4"/>
              <w:bottom w:val="single" w:color="C8501F" w:sz="4"/>
              <w:right w:val="single" w:color="C8501F" w:sz="4"/>
            </w:tcBorders>
            <w:shd w:fill="C8501F" w:val="clear"/>
            <w:tcMar>
              <w:top w:type="dxa" w:w="180"/>
              <w:left w:type="dxa" w:w="280"/>
              <w:bottom w:type="dxa" w:w="180"/>
              <w:right w:type="dxa" w:w="280"/>
            </w:tcMar>
            <w:vAlign w:val="center"/>
          </w:tcPr>
          <w:p>
            <w:pPr>
              <w:jc w:val="center"/>
            </w:pPr>
            <w:r>
              <w:rPr>
                <w:b/>
                <w:bCs/>
                <w:color w:val="FFFFFF"/>
                <w:spacing w:val="80"/>
                <w:sz w:val="26"/>
                <w:szCs w:val="26"/>
              </w:rPr>
              <w:t xml:space="preserve">🔴  T2 LEAD PILOT — ENGAGE</w:t>
            </w:r>
          </w:p>
        </w:tc>
      </w:tr>
    </w:tbl>
    <w:p>
      <w:pPr>
        <w:spacing w:after="120" w:before="120"/>
      </w:pPr>
      <w:r>
        <w:t xml:space="preserve"/>
      </w:r>
    </w:p>
    <w:p>
      <w:pPr>
        <w:spacing w:after="120" w:before="240"/>
      </w:pPr>
      <w:r>
        <w:rPr>
          <w:b/>
          <w:bCs/>
          <w:color w:val="1A2B3C"/>
          <w:sz w:val="28"/>
          <w:szCs w:val="28"/>
        </w:rPr>
        <w:t xml:space="preserve">My read on 1-800 BOARDUP</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1-800 BOARDUP scores #5 of 78 — emergency-services franchise with first-responder dispatch profile</w:t>
            </w:r>
          </w:p>
          <w:p>
            <w:pPr>
              <w:spacing w:after="100"/>
            </w:pPr>
            <w:r>
              <w:rPr>
                <w:color w:val="3A4A5C"/>
                <w:sz w:val="19"/>
                <w:szCs w:val="19"/>
              </w:rPr>
              <w:t xml:space="preserve">1-800 BOARDUP scored 96 — fifth-highest in Track 2 — because it operates the most time-critical franchise model in the BELFOR portfolio. Board-up services are deployed within hours of a property loss event (fire, storm, vandalism, vehicle impact) — typically dispatched by insurance adjusters, first responders, or property management companies. The operational tempo is closer to emergency services than typical home-services franchises: 24/7 dispatch, fast mobilization, on-site documentation for insurance, immediate billing capture. ServiceBridge's dispatch + photo + signature workflows are highly aligned to this operational pattern.</w:t>
            </w:r>
          </w:p>
          <w:p>
            <w:pPr>
              <w:spacing w:after="100"/>
            </w:pPr>
            <w:r>
              <w:rPr>
                <w:color w:val="3A4A5C"/>
                <w:sz w:val="19"/>
                <w:szCs w:val="19"/>
              </w:rPr>
              <w:t xml:space="preserve">What this means strategically: 1-800 BOARDUP is a high-fit, time-critical engagement target. The brand corp opportunity sits between general restoration (1-800 Water Damage) and specialty contents (Blue Kangaroo Packoutz). Smaller portfolio than 1-800 Water Damage but with a faster operational tempo that further sharpens the SB workflow advantage. Franchisee economics depend heavily on first-call response time and billing-capture speed — both SB native strengths.</w:t>
            </w:r>
          </w:p>
          <w:p>
            <w:pPr>
              <w:spacing w:after="100"/>
            </w:pPr>
            <w:r>
              <w:rPr>
                <w:color w:val="3A4A5C"/>
                <w:sz w:val="19"/>
                <w:szCs w:val="19"/>
              </w:rPr>
              <w:t xml:space="preserve">Important context: BOARDUP is a smaller and somewhat newer brand within BFG. Brand corp leadership likely has smaller team, faster decision cycles, and less internal bureaucracy than the larger brands. This is an underrated speed-to-pilot opportunity within the BELFOR set.</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Emergency response tempo IS the SB operational match. Dispatch speed, photo documentation, on-site signatures, immediate billing — every SB feature lands sharper here.</w:t>
      </w:r>
    </w:p>
    <w:p>
      <w:pPr>
        <w:pStyle w:val="ListParagraph"/>
        <w:numPr>
          <w:ilvl w:val="0"/>
          <w:numId w:val="2"/>
        </w:numPr>
        <w:spacing w:after="80"/>
      </w:pPr>
      <w:r>
        <w:rPr>
          <w:color w:val="3A4A5C"/>
          <w:sz w:val="19"/>
          <w:szCs w:val="19"/>
        </w:rPr>
        <w:t xml:space="preserve">Insurance adjuster relationships are the upstream demand source. Brand-corp partnership stories that include claims-processing speed are highly relevant.</w:t>
      </w:r>
    </w:p>
    <w:p>
      <w:pPr>
        <w:pStyle w:val="ListParagraph"/>
        <w:numPr>
          <w:ilvl w:val="0"/>
          <w:numId w:val="2"/>
        </w:numPr>
        <w:spacing w:after="80"/>
      </w:pPr>
      <w:r>
        <w:rPr>
          <w:color w:val="3A4A5C"/>
          <w:sz w:val="19"/>
          <w:szCs w:val="19"/>
        </w:rPr>
        <w:t xml:space="preserve">Smaller, newer brand structure = faster decisions. Don't bring an enterprise sales motion — bring a focused brand-corp partnership conversation.</w:t>
      </w:r>
    </w:p>
    <w:p>
      <w:pPr>
        <w:pStyle w:val="ListParagraph"/>
        <w:numPr>
          <w:ilvl w:val="0"/>
          <w:numId w:val="2"/>
        </w:numPr>
        <w:spacing w:after="80"/>
      </w:pPr>
      <w:r>
        <w:rPr>
          <w:color w:val="3A4A5C"/>
          <w:sz w:val="19"/>
          <w:szCs w:val="19"/>
        </w:rPr>
        <w:t xml:space="preserve">BELFOR portfolio gravity applies. Sister-brand HOODZ + DUCTZ + 1-800 Water Damage adoption pattern is the credibility opener.</w:t>
      </w:r>
    </w:p>
    <w:p>
      <w:pPr>
        <w:pStyle w:val="ListParagraph"/>
        <w:numPr>
          <w:ilvl w:val="0"/>
          <w:numId w:val="2"/>
        </w:numPr>
        <w:spacing w:after="80"/>
      </w:pPr>
      <w:r>
        <w:rPr>
          <w:color w:val="3A4A5C"/>
          <w:sz w:val="19"/>
          <w:szCs w:val="19"/>
        </w:rPr>
        <w:t xml:space="preserve">First-responder dispatch profile is operationally distinctive. Lead with dispatch speed metrics and time-to-board response, not generic FSM benefits.</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Franchise Group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American Securities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American Securities portfolio</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P2 · DE-FACTO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Emergency board-up &amp; secure-the-property services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1800boardup.com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150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600 (~4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20-40% organic</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mandate — greenfield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V2 character: GREENFIELD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restoration-adjacent tools</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Emergency-services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GPSI database query (high relevance for emergency dispatch)</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GPSI customer database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FG-level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commercial + insurance carriers + light residential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1-800 BOARDUP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Low — newer/smaller brand, limited social presence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web search</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1-800 BOARDUP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HIGH — no FSM mandate, restoration vertical paper-based historically</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PRIORITY BUMP. 25% weight at brand-corp level. Primary engagement opener.</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Likely QuickBooks-mixed; possibly some restoration-management overlap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Validate before pitching specific stack ROI. Emergency tempo creates partial workarounds and integration gaps.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commercial + insurance carriers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Insurance carrier relationships drive demand. Brand-corp formalization story includes claims-processing speed.</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BELFOR FG-level (no separate brand GPO)</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BFG-level vendor vetting. Brand-corp endorsement can fast-track adoption via parent channel.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Emergency board-up — STRONG ServiceBridge fit (24/7 dispatch, on-site documentation, immediate billing)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Emergency-services tempo aligns sharply with SB workflows. Dispatch speed is the differentiator.</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Mid-size — ~150 locs / ~600 techs (CRM estimate)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Mid-size brand. Smaller decision-making team likely. Faster brand-corp engagement cycle than larger BFG brands.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 with disaster-response geographic concentration patterns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Regional density during catastrophic weather events. National enterprise channels open.</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Restoration brands often have multi-unit operators. High density = enterprise-style buying conversation.</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GPSI database query (priority intel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Highest weight on warm-path scoring. Even partial overlap unlocks introductions.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GREENFIELD — no incumbent FSM mandate; ad-hoc franchisee choice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&gt; paper &gt; displacement. Engagement velocity highest here.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If brand president stable: relationship play. If recent change: open-roadmap play.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Low-moderate brand-corp visibility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Warm-path / parent-franchisor route dominates. Direct outreach viable but not primary.</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1-800 BOARDUP's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Doug Smith (SVP Franchise Development, BFG) — sees franchisee adoption data daily across BFG portfolio · Beth Toenies (VP FD) — second-stage warm path · GPSI customer overlap query (any 1-800 BOARDUP franchisees in GPSI database) · BELFOR Holdings operating partner conversations via American Securities (gated on parent franchisor track) · Sister-brand context: HOODZ + DUCTZ at 94% SB adoption is the credibility opener for any 1-800 BOARDUP brand-corp conversation.</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Brand-corp leadership likely small (BFG brand structure typical). LinkedIn presence likely modest. Direct outreach viable AFTER warm path has surfaced names — not as opening move. Emergency services-specific value framing required: speak the franchisee unit economics language. Cold outreach to franchisees is out of scope (they're the existing implicit customer base).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Restoration vertical: Cleaning &amp; Restoration Magazine, Restoration &amp; Remediation. Insurance carrier publications (Claims Magazine). Emergency response publications (RIA disaster-response content). Joint case study with HOODZ franchisee leadership (within license/permission boundaries) becomes high-leverage proof material — turn HOODZ's 94% adoption into industry narrative that 1-800 BOARDUP brand-corp reads. Restoration Industry Association (RIA) and Cleaning &amp; Restoration Association (CRA) publications and events.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BFG hosts internal franchisee conferences — coordinate brand-level reinforcement at parent events. RIA Convention. Insurance industry: PLRB conferences for carrier-side relationships. Disaster-response conferences. Property management trade events (CAI for community associations). Challenge coin / hand-mailed proof reports work well in field-services brand cultures. America 250 letter campaign already targets BFG portfolio — coordinate brand-level reinforcement to brand-corp leadership.</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LOW-MEDIUM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1-800 BOARDUP brand-corp social presence likely modest — limits direct engagement value. However, BELFOR FG executive content (Doug Smith, Rusty Amarante, Brand Presidents) is the right engagement target — amplifying parent-franchisor franchise-development thought leadership warms the brand-corp path. If 1-800 BOARDUP brand president has active LinkedIn presence, this becomes higher-fit. Validate during initial intel work.</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1-800 BOARDUP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$10K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First-call response speed · on-site documentation · immediate billing capture · insurance carrier relationship value</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(1-800 BOARDUP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$6M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~600 techs × $10K (emergency tempo premium)</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$360K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BELFOR Franchise Group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$18K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sister-brand playbook applies · emergency-dispatch workflow customization adds 15 days</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emergency-response franchisees are operationally stretched — SB's dispatch automation reduces operational stress and improves first-call response, the franchisee economic differentiator.</w:t>
      </w:r>
    </w:p>
    <w:p>
      <w:pPr>
        <w:pStyle w:val="ListParagraph"/>
        <w:numPr>
          <w:ilvl w:val="0"/>
          <w:numId w:val="2"/>
        </w:numPr>
        <w:spacing w:after="80"/>
      </w:pPr>
      <w:r>
        <w:rPr>
          <w:color w:val="3A4A5C"/>
          <w:sz w:val="19"/>
          <w:szCs w:val="19"/>
        </w:rPr>
        <w:t xml:space="preserve">Franchisee recruitment: prospective board-up franchisees evaluate dispatch tooling carefully — response speed determines insurance adjuster relationships and territory growth.</w:t>
      </w:r>
    </w:p>
    <w:p>
      <w:pPr>
        <w:pStyle w:val="ListParagraph"/>
        <w:numPr>
          <w:ilvl w:val="0"/>
          <w:numId w:val="2"/>
        </w:numPr>
        <w:spacing w:after="80"/>
      </w:pPr>
      <w:r>
        <w:rPr>
          <w:color w:val="3A4A5C"/>
          <w:sz w:val="19"/>
          <w:szCs w:val="19"/>
        </w:rPr>
        <w:t xml:space="preserve">Reporting visibility: brand corp currently has limited visibility into franchisee dispatch performance, response times, and insurance billing capture. Critical for QA programs and territory management.</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compound at the parent franchisor level. When all BFG brands adopt brand-mandated FSM, the parent network gains standardized operations data that drives portfolio-level value creation initiatives ahead of any exit window. 1-800 BOARDUP brand-led adoption adds emergency-response telemetry to the BFG portfolio EBITDA story for American Securities pre-exit. This bridge is for our internal narrative — it does not need to be foregrounded in brand-corp conversations.</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1-800 BOARDUP FSM posture: GREENFIELD → EMERGENCY-DISPATCH NICHE</w:t>
            </w:r>
          </w:p>
          <w:p>
            <w:pPr>
              <w:spacing w:after="100"/>
            </w:pPr>
            <w:r>
              <w:rPr>
                <w:color w:val="3A4A5C"/>
                <w:sz w:val="19"/>
                <w:szCs w:val="19"/>
              </w:rPr>
              <w:t xml:space="preserve">1-800 BOARDUP operates in GREENFIELD posture with emergency-dispatch character — no brand-corp FSM mandate, franchisees making ad-hoc choices that often lean toward emergency-response-friendly tools (dispatching apps, basic billing). Specialty restoration tools handle parts of the workflow.</w:t>
            </w:r>
          </w:p>
          <w:p>
            <w:pPr>
              <w:spacing w:after="100"/>
            </w:pPr>
            <w:r>
              <w:rPr>
                <w:color w:val="3A4A5C"/>
                <w:sz w:val="19"/>
                <w:szCs w:val="19"/>
              </w:rPr>
              <w:t xml:space="preserve">Generalized framework: brand corps split into four FSM postures — (1) MANDATED, (2) PREFERRED, (3) MIXED, (4) GREENFIELD. 1-800 BOARDUP = GREENFIELD with emergency-dispatch character.</w:t>
            </w:r>
          </w:p>
          <w:p>
            <w:pPr>
              <w:spacing w:after="100"/>
            </w:pPr>
            <w:r>
              <w:rPr>
                <w:color w:val="3A4A5C"/>
                <w:sz w:val="19"/>
                <w:szCs w:val="19"/>
              </w:rPr>
              <w:t xml:space="preserve">Competitive risk is non-engagement, not displacement. ServiceTitan has minimal restoration traction. Emergency-services-specific tools (dispatch apps, GPS routing) handle slices of the workflow. SB's full dispatch + documentation + billing chain is differentiated.</w:t>
            </w:r>
          </w:p>
          <w:p>
            <w:pPr>
              <w:spacing w:after="100"/>
            </w:pPr>
            <w:r>
              <w:rPr>
                <w:color w:val="3A4A5C"/>
                <w:sz w:val="19"/>
                <w:szCs w:val="19"/>
              </w:rPr>
              <w:t xml:space="preserve">Adjacent BFG brands DUCTZ + HOODZ at 94% adoption + 1-800 Water Damage similar trajectory provide credibility. Lead with sister-brand context.</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1-800 BOARDUP</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1-800 BOARDUP dimension scores: Greenfield 90/100, Network 60/100, PE 75/100, DM Access 80/100, Urgency 75/100, Displacement 50/100, C/B Mix 75/100.</w:t>
            </w:r>
          </w:p>
          <w:p>
            <w:pPr>
              <w:spacing w:after="100"/>
            </w:pPr>
            <w:r>
              <w:rPr>
                <w:color w:val="3A4A5C"/>
                <w:sz w:val="19"/>
                <w:szCs w:val="19"/>
              </w:rPr>
              <w:t xml:space="preserve">Weighted base score: (90×0.30) + (60×0.15) + (75×0.10) + (80×0.15) + (75×0.15) + (50×0.05) + (75×0.10) = 75 base. Plus parent inheritance bonus +25 (P2 · #1 DE-FACTO ANCHOR) + modifier -4 = 96 total.</w:t>
            </w:r>
          </w:p>
          <w:p>
            <w:pPr>
              <w:spacing w:after="100"/>
            </w:pPr>
            <w:r>
              <w:rPr>
                <w:color w:val="3A4A5C"/>
                <w:sz w:val="19"/>
                <w:szCs w:val="19"/>
              </w:rPr>
              <w:t xml:space="preserve">Score 96 = T2 LEAD PILOT — ENGAGE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1-800 BOARDUP readiness package —</w:t>
      </w:r>
    </w:p>
    <w:p>
      <w:pPr>
        <w:spacing w:after="60" w:before="60"/>
      </w:pPr>
      <w:r>
        <w:t xml:space="preserve"/>
      </w:r>
    </w:p>
    <w:p>
      <w:pPr>
        <w:jc w:val="center"/>
      </w:pPr>
      <w:r>
        <w:rPr>
          <w:i/>
          <w:iCs/>
          <w:color w:val="6B7A8B"/>
          <w:sz w:val="15"/>
          <w:szCs w:val="15"/>
        </w:rPr>
        <w:t xml:space="preserve">Velocity GTM Co LLC  ·  Stage 2 Brand-Corp Readiness  ·  1-800 BOARDUP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NORTHSTAR REFERENCE  ·  1-800 BOARDUP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1-800 BOARDUP Stage 2 Brand-Corp Readiness Package — CRM v15.6</dc:title>
  <dc:creator>Michael Montgomery Flynt Jr</dc:creator>
  <cp:lastModifiedBy>Un-named</cp:lastModifiedBy>
  <cp:revision>1</cp:revision>
  <dcterms:created xsi:type="dcterms:W3CDTF">2026-04-30T23:50:07.172Z</dcterms:created>
  <dcterms:modified xsi:type="dcterms:W3CDTF">2026-04-30T23:50:07.172Z</dcterms:modified>
</cp:coreProperties>
</file>

<file path=docProps/custom.xml><?xml version="1.0" encoding="utf-8"?>
<Properties xmlns="http://schemas.openxmlformats.org/officeDocument/2006/custom-properties" xmlns:vt="http://schemas.openxmlformats.org/officeDocument/2006/docPropsVTypes"/>
</file>