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1-800 Water Damage</w:t>
      </w:r>
    </w:p>
    <w:p>
      <w:pPr>
        <w:spacing w:after="120"/>
        <w:jc w:val="center"/>
      </w:pPr>
      <w:r>
        <w:rPr>
          <w:i/>
          <w:iCs/>
          <w:color w:val="6B7A8B"/>
          <w:sz w:val="17"/>
          <w:szCs w:val="17"/>
        </w:rPr>
        <w:t xml:space="preserve">Parent: BELFOR Franchise Group  ·  Vertical: Water damage restoration &amp; mitigation</w:t>
      </w:r>
    </w:p>
    <w:p>
      <w:pPr>
        <w:spacing w:after="120"/>
        <w:jc w:val="center"/>
      </w:pPr>
      <w:r>
        <w:rPr>
          <w:i/>
          <w:iCs/>
          <w:color w:val="6B7A8B"/>
          <w:sz w:val="17"/>
          <w:szCs w:val="17"/>
        </w:rPr>
        <w:t xml:space="preserve">V2 Score: 106  ·  Tier: T1 LEAD PILOT — DEEP ENGAGE  ·  P2 · #1 · DE-FACTO ANCHOR</w:t>
      </w:r>
    </w:p>
    <w:p>
      <w:pPr>
        <w:spacing w:after="60" w:before="60"/>
      </w:pPr>
      <w:r>
        <w:t xml:space="preserve"/>
      </w:r>
    </w:p>
    <w:tbl>
      <w:tblPr>
        <w:tblW w:type="dxa" w:w="10080"/>
        <w:tblBorders>
          <w:top w:val="single" w:color="0B3D6B" w:sz="0"/>
          <w:left w:val="single" w:color="0B3D6B" w:sz="0"/>
          <w:bottom w:val="single" w:color="0B3D6B" w:sz="0"/>
          <w:right w:val="single" w:color="0B3D6B" w:sz="0"/>
          <w:insideH w:val="single" w:color="auto" w:sz="4"/>
          <w:insideV w:val="single" w:color="auto" w:sz="4"/>
        </w:tblBorders>
      </w:tblPr>
      <w:tblGrid>
        <w:gridCol w:w="10080"/>
      </w:tblGrid>
      <w:tr>
        <w:tc>
          <w:tcPr>
            <w:tcW w:type="dxa" w:w="10080"/>
            <w:tcBorders>
              <w:top w:val="single" w:color="0B3D6B" w:sz="4"/>
              <w:left w:val="single" w:color="0B3D6B" w:sz="4"/>
              <w:bottom w:val="single" w:color="0B3D6B" w:sz="4"/>
              <w:right w:val="single" w:color="0B3D6B" w:sz="4"/>
            </w:tcBorders>
            <w:shd w:fill="0B3D6B" w:val="clear"/>
            <w:tcMar>
              <w:top w:type="dxa" w:w="180"/>
              <w:left w:type="dxa" w:w="280"/>
              <w:bottom w:type="dxa" w:w="180"/>
              <w:right w:type="dxa" w:w="280"/>
            </w:tcMar>
            <w:vAlign w:val="center"/>
          </w:tcPr>
          <w:p>
            <w:pPr>
              <w:jc w:val="center"/>
            </w:pPr>
            <w:r>
              <w:rPr>
                <w:b/>
                <w:bCs/>
                <w:color w:val="FFFFFF"/>
                <w:spacing w:val="80"/>
                <w:sz w:val="24"/>
                <w:szCs w:val="24"/>
              </w:rPr>
              <w:t xml:space="preserve">⭐  NORTHSTAR REFERENCE  ·  P2 PATTERN LIBRARY</w:t>
            </w:r>
          </w:p>
          <w:p>
            <w:pPr>
              <w:spacing w:before="80"/>
              <w:jc w:val="center"/>
            </w:pPr>
            <w:r>
              <w:rPr>
                <w:i/>
                <w:iCs/>
                <w:color w:val="FFFFFF"/>
                <w:sz w:val="16"/>
                <w:szCs w:val="16"/>
              </w:rPr>
              <w:t xml:space="preserve">Use as reference pattern for greenfield engagement at Track 1 P1 brands  ·  Not currently an active engagement target</w:t>
            </w:r>
          </w:p>
        </w:tc>
      </w:tr>
    </w:tbl>
    <w:p>
      <w:pPr>
        <w:spacing w:after="60" w:before="60"/>
      </w:pPr>
      <w:r>
        <w:t xml:space="preserve"/>
      </w:r>
    </w:p>
    <w:tbl>
      <w:tblPr>
        <w:tblW w:type="dxa" w:w="10080"/>
        <w:tblBorders>
          <w:top w:val="single" w:color="8B0000" w:sz="0"/>
          <w:left w:val="single" w:color="8B0000" w:sz="0"/>
          <w:bottom w:val="single" w:color="8B0000" w:sz="0"/>
          <w:right w:val="single" w:color="8B0000" w:sz="0"/>
          <w:insideH w:val="single" w:color="auto" w:sz="4"/>
          <w:insideV w:val="single" w:color="auto" w:sz="4"/>
        </w:tblBorders>
      </w:tblPr>
      <w:tblGrid>
        <w:gridCol w:w="10080"/>
      </w:tblGrid>
      <w:tr>
        <w:tc>
          <w:tcPr>
            <w:tcW w:type="dxa" w:w="10080"/>
            <w:tcBorders>
              <w:top w:val="single" w:color="8B0000" w:sz="4"/>
              <w:left w:val="single" w:color="8B0000" w:sz="4"/>
              <w:bottom w:val="single" w:color="8B0000" w:sz="4"/>
              <w:right w:val="single" w:color="8B0000" w:sz="4"/>
            </w:tcBorders>
            <w:shd w:fill="8B0000" w:val="clear"/>
            <w:tcMar>
              <w:top w:type="dxa" w:w="180"/>
              <w:left w:type="dxa" w:w="280"/>
              <w:bottom w:type="dxa" w:w="180"/>
              <w:right w:type="dxa" w:w="280"/>
            </w:tcMar>
            <w:vAlign w:val="center"/>
          </w:tcPr>
          <w:p>
            <w:pPr>
              <w:jc w:val="center"/>
            </w:pPr>
            <w:r>
              <w:rPr>
                <w:b/>
                <w:bCs/>
                <w:color w:val="FFFFFF"/>
                <w:spacing w:val="80"/>
                <w:sz w:val="26"/>
                <w:szCs w:val="26"/>
              </w:rPr>
              <w:t xml:space="preserve">🔴  T1 LEAD PILOT — DEEP ENGAGE</w:t>
            </w:r>
          </w:p>
        </w:tc>
      </w:tr>
    </w:tbl>
    <w:p>
      <w:pPr>
        <w:spacing w:after="120" w:before="120"/>
      </w:pPr>
      <w:r>
        <w:t xml:space="preserve"/>
      </w:r>
    </w:p>
    <w:p>
      <w:pPr>
        <w:spacing w:after="120" w:before="240"/>
      </w:pPr>
      <w:r>
        <w:rPr>
          <w:b/>
          <w:bCs/>
          <w:color w:val="1A2B3C"/>
          <w:sz w:val="28"/>
          <w:szCs w:val="28"/>
        </w:rPr>
        <w:t xml:space="preserve">My read on 1-800 Water Damage</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1-800 Water Damage scores #2 of 78 — the restoration franchise sweet spot</w:t>
            </w:r>
          </w:p>
          <w:p>
            <w:pPr>
              <w:spacing w:after="100"/>
            </w:pPr>
            <w:r>
              <w:rPr>
                <w:color w:val="3A4A5C"/>
                <w:sz w:val="19"/>
                <w:szCs w:val="19"/>
              </w:rPr>
              <w:t xml:space="preserve">1-800 Water Damage scored 106 — second-highest combined score of any brand corp in the entire Track 2 set — because it sits in the BELFOR portfolio's strongest greenfield + emergency-services intersection. Restoration is one of the highest-velocity FSM verticals: 24/7 dispatch, multi-truck mobilization, complex billing (insurance + property owner + claims), and franchisee-led operations with minimal IT infrastructure. The exact profile where ServiceBridge wins decisively. Combined with BELFOR Franchise Group's 94% de facto adoption pattern at HOODZ and DUCTZ, this brand has every structural attribute to support brand-led FSM rollout.</w:t>
            </w:r>
          </w:p>
          <w:p>
            <w:pPr>
              <w:spacing w:after="100"/>
            </w:pPr>
            <w:r>
              <w:rPr>
                <w:color w:val="3A4A5C"/>
                <w:sz w:val="19"/>
                <w:szCs w:val="19"/>
              </w:rPr>
              <w:t xml:space="preserve">What this means strategically: 1-800 Water Damage shares the BELFOR portfolio gravity that drove HOODZ to 94% organic — but unlike HOODZ, the franchisee adoption pattern is likely earlier in the curve. We have a window to engage brand-corp leadership BEFORE adoption gets to 94% on its own. The opportunity is to formalize what would otherwise happen organically over 18-24 months — capturing the brand-corp engagement value, the standardized operations data, and the BFG portfolio EBITDA story for American Securities pre-exit.</w:t>
            </w:r>
          </w:p>
          <w:p>
            <w:pPr>
              <w:spacing w:after="100"/>
            </w:pPr>
            <w:r>
              <w:rPr>
                <w:color w:val="3A4A5C"/>
                <w:sz w:val="19"/>
                <w:szCs w:val="19"/>
              </w:rPr>
              <w:t xml:space="preserve">How HOODZ informs 1-800 Water Damage: HOODZ shows what happens when ServiceBridge wins without brand-corp engagement (94% organic, no formalization, no portfolio narrative captured). 1-800 Water Damage gets the inverse playbook — go to brand corp first, present BELFOR portfolio adoption pattern as evidence, codify the path before fragmentation.</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Restoration vertical is ServiceBridge's natural strongest fit. Emergency dispatch + multi-truck + complex billing + small franchisee teams = our sweet spot. Lead with the operational match.</w:t>
      </w:r>
    </w:p>
    <w:p>
      <w:pPr>
        <w:pStyle w:val="ListParagraph"/>
        <w:numPr>
          <w:ilvl w:val="0"/>
          <w:numId w:val="2"/>
        </w:numPr>
        <w:spacing w:after="80"/>
      </w:pPr>
      <w:r>
        <w:rPr>
          <w:color w:val="3A4A5C"/>
          <w:sz w:val="19"/>
          <w:szCs w:val="19"/>
        </w:rPr>
        <w:t xml:space="preserve">BELFOR Property Restoration (parent restoration brand, T8 EXCLUDE) operates on Xactimate/Symbility. 1-800 Water Damage sits in a different stack — franchisee FSM, not enterprise restoration management. Don't conflate the two.</w:t>
      </w:r>
    </w:p>
    <w:p>
      <w:pPr>
        <w:pStyle w:val="ListParagraph"/>
        <w:numPr>
          <w:ilvl w:val="0"/>
          <w:numId w:val="2"/>
        </w:numPr>
        <w:spacing w:after="80"/>
      </w:pPr>
      <w:r>
        <w:rPr>
          <w:color w:val="3A4A5C"/>
          <w:sz w:val="19"/>
          <w:szCs w:val="19"/>
        </w:rPr>
        <w:t xml:space="preserve">Insurance carrier billing is the differentiated FSM workflow here. ServiceBridge's billing capture story has even sharper ROI in restoration than in cleaning (HOODZ) or HVAC (DUCTZ).</w:t>
      </w:r>
    </w:p>
    <w:p>
      <w:pPr>
        <w:pStyle w:val="ListParagraph"/>
        <w:numPr>
          <w:ilvl w:val="0"/>
          <w:numId w:val="2"/>
        </w:numPr>
        <w:spacing w:after="80"/>
      </w:pPr>
      <w:r>
        <w:rPr>
          <w:color w:val="3A4A5C"/>
          <w:sz w:val="19"/>
          <w:szCs w:val="19"/>
        </w:rPr>
        <w:t xml:space="preserve">PE exit timing favors brand-led rollout NOW. American Securities Year 6+ — brand-level ARR contributing to portfolio EBITDA matters in the 12-18 months pre-exit window.</w:t>
      </w:r>
    </w:p>
    <w:p>
      <w:pPr>
        <w:pStyle w:val="ListParagraph"/>
        <w:numPr>
          <w:ilvl w:val="0"/>
          <w:numId w:val="2"/>
        </w:numPr>
        <w:spacing w:after="80"/>
      </w:pPr>
      <w:r>
        <w:rPr>
          <w:color w:val="3A4A5C"/>
          <w:sz w:val="19"/>
          <w:szCs w:val="19"/>
        </w:rPr>
        <w:t xml:space="preserve">Franchisee owner-operator buying culture means operational ROI math + sister-brand proof points carry the conversation. Decks don't sell here; demonstrated adoption does.</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Franchise Group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American Securities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American Securities portfolio</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P2 · DE-FACTO ANCHOR</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Water damage restoration &amp; mitigation</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1800waterdamage.com</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200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800 (~4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25-50% organic</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NO formal mandate — greenfield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V2 character: GREENFIELD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 some restoration-specific tools</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Restoration-vertical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GPSI database query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GPSI customer database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FG-level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Mixed — heavy residential + commercial restoration + insurance</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1-800 Water Damage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established brand, limited brand-corp social presence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web search</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1-800 WATER DAMAGE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HIGH — no FSM mandate, restoration vertical paper-based historically</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PRIORITY BUMP. 25% weight at brand-corp level. Primary engagement opener.</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Likely QuickBooks-mixed; insurance billing complexity creates partial workarounds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QB-only without FSM = strongest greenfield proxy. Validate before pitching specific stack ROI.</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Mixed — residential + commercial + insurance carriers</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Insurance carrier relationships create different ROI math (claims processing speed, documentation completeness). Lean into this nuance.</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BELFOR FG-level (no separate brand GPO)</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BFG-level vendor vetting. Brand-corp endorsement can fast-track adoption via parent channel.</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Restoration — STRONGEST ServiceBridge fit (24/7 dispatch, multi-truck mobilization, complex billing)</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Restoration is THE sweet spot vertical. Higher fit than cleaning, plumbing, or HVAC verticals.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Mid-large — ~200 locs / ~800 techs (CRM estimate)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Larger brand = larger ROI math but slower decision cycles. Mid-size franchisee structure within brand.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brands open enterprise channels. Regional emergency response density is the operational story.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TBD — research gap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Restoration brands often have multi-unit operators. High density = enterprise-style buying conversation.</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TBD — GPSI database query (priority intel gap)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Highest weight on warm-path scoring. Even partial overlap unlocks introductions.</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GREENFIELD — no incumbent FSM mandate; ad-hoc franchisee choice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&gt; paper &gt; displacement. Engagement velocity highest here.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TBD — research gap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If brand president stable: relationship play. If recent change: open-roadmap play.</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Low-moderate brand-corp visibility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Warm-path / parent-franchisor route dominates. Direct outreach viable but not primary.</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1-800 Water Damage's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Doug Smith (SVP Franchise Development, BFG) — sees franchisee adoption data daily across BFG portfolio · Beth Toenies (VP FD) — second-stage warm path · GPSI customer overlap query (any 1-800 Water Damage franchisees in GPSI database) · BELFOR Holdings operating partner conversations via American Securities (gated on parent franchisor track) · Sister-brand context: HOODZ + DUCTZ at 94% SB adoption is the credibility opener for any 1-800 Water Damage brand-corp conversation.</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Brand-corp leadership likely small (BFG brand structure typical). LinkedIn presence likely modest. Direct outreach viable AFTER warm path has surfaced names — not as opening move. Restoration-specific value framing required: speak the franchisee unit economics language. Cold outreach to franchisees is out of scope (they're the existing implicit customer base).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Restoration vertical: Cleaning &amp; Restoration Magazine, Restoration &amp; Remediation, R&amp;R online. Insurance carrier publications (Claims Magazine, PropertyCasualty360). Joint case study with HOODZ franchisee leadership (within license/permission boundaries) becomes high-leverage proof material — turn HOODZ's 94% adoption into industry narrative that 1-800 Water Damage brand-corp reads. Restoration Industry Association (RIA) and Cleaning &amp; Restoration Association (CRA) publications and events.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BFG hosts internal franchisee conferences — coordinate brand-level reinforcement at parent events. RIA Convention &amp; Industry Expo, Cleaning &amp; Restoration Association (CRA) events. Insurance industry: PLRB conferences for carrier-side relationships. Challenge coin / hand-mailed proof reports work well in field-services brand cultures. America 250 letter campaign already targets BFG portfolio — coordinate brand-level reinforcement to brand-corp leadership.</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LOW-MEDIUM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1-800 Water Damage brand-corp social presence likely modest — limits direct engagement value. However, BELFOR FG executive content (Doug Smith, Rusty Amarante, Brand Presidents) is the right engagement target — amplifying parent-franchisor franchise-development thought leadership warms the brand-corp path. If 1-800 Water Damage brand president has active LinkedIn presence, this becomes higher-fit. Validate during initial intel work.</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1-800 WATER DAMAGE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$10K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Insurance billing capture · documentation speed · 24/7 dispatch efficiency (higher than cleaning/HVAC due to insurance complexity)</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(1-800 Water Damage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$8M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~800 techs × $10K (CRM-derived tech count, restoration premium)</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$480K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BELFOR Franchise Group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$24K</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80 techs × $300/tech/yr SB pricing — first-year achievable at 10% penetration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sister-brand HOODZ + DUCTZ playbook reduces ramp risk · insurance billing integration adds 30 days</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brand-mandated FSM removes the franchisee burden of platform selection. Restoration franchisees particularly frustrated by insurance billing complexity — SB native carrier integrations are a retention lever.</w:t>
      </w:r>
    </w:p>
    <w:p>
      <w:pPr>
        <w:pStyle w:val="ListParagraph"/>
        <w:numPr>
          <w:ilvl w:val="0"/>
          <w:numId w:val="2"/>
        </w:numPr>
        <w:spacing w:after="80"/>
      </w:pPr>
      <w:r>
        <w:rPr>
          <w:color w:val="3A4A5C"/>
          <w:sz w:val="19"/>
          <w:szCs w:val="19"/>
        </w:rPr>
        <w:t xml:space="preserve">Franchisee recruitment: prospective restoration franchisees evaluate brand-provided technology stack heavily. Insurance billing speed and documentation completeness are direct franchisee economics levers.</w:t>
      </w:r>
    </w:p>
    <w:p>
      <w:pPr>
        <w:pStyle w:val="ListParagraph"/>
        <w:numPr>
          <w:ilvl w:val="0"/>
          <w:numId w:val="2"/>
        </w:numPr>
        <w:spacing w:after="80"/>
      </w:pPr>
      <w:r>
        <w:rPr>
          <w:color w:val="3A4A5C"/>
          <w:sz w:val="19"/>
          <w:szCs w:val="19"/>
        </w:rPr>
        <w:t xml:space="preserve">Reporting visibility: brand corp gains restoration operations data currently invisible — claim turnaround time, jobs per truck, billing capture rates. Critical for brand-corp expansion planning and territory decisions.</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compound at the parent franchisor level. When all BFG brands adopt brand-mandated FSM, the parent network gains standardized operations data that drives portfolio-level value creation initiatives ahead of any exit window. 1-800 Water Damage brand-led adoption + HOODZ + DUCTZ already at 94% = a meaningful BFG portfolio story for American Securities pre-exit. This bridge is for our internal narrative — it does not need to be foregrounded in brand-corp conversations.</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1-800 Water Damage FSM posture: GREENFIELD → DE-FACTO SB FORMING</w:t>
            </w:r>
          </w:p>
          <w:p>
            <w:pPr>
              <w:spacing w:after="100"/>
            </w:pPr>
            <w:r>
              <w:rPr>
                <w:color w:val="3A4A5C"/>
                <w:sz w:val="19"/>
                <w:szCs w:val="19"/>
              </w:rPr>
              <w:t xml:space="preserve">1-800 Water Damage operates in GREENFIELD posture — no brand-corp FSM mandate. Franchisees making ad-hoc choices: likely a mix of pen/paper, QuickBooks-only, restoration-specific tools (DASH, Mica), and possibly some early SB adoption mirroring sister brands HOODZ/DUCTZ.</w:t>
            </w:r>
          </w:p>
          <w:p>
            <w:pPr>
              <w:spacing w:after="100"/>
            </w:pPr>
            <w:r>
              <w:rPr>
                <w:color w:val="3A4A5C"/>
                <w:sz w:val="19"/>
                <w:szCs w:val="19"/>
              </w:rPr>
              <w:t xml:space="preserve">Generalized framework: brand corps split into four FSM postures — (1) MANDATED (incumbent FSM by brand-corp decision; displacement target), (2) PREFERRED (corp-recommended but not enforced; conversion target), (3) MIXED (franchisee-by-franchisee choice), (4) GREENFIELD (no FSM mandate). 1-800 Water Damage = GREENFIELD trending toward DE-FACTO via BFG portfolio gravity.</w:t>
            </w:r>
          </w:p>
          <w:p>
            <w:pPr>
              <w:spacing w:after="100"/>
            </w:pPr>
            <w:r>
              <w:rPr>
                <w:color w:val="3A4A5C"/>
                <w:sz w:val="19"/>
                <w:szCs w:val="19"/>
              </w:rPr>
              <w:t xml:space="preserve">Competitive risk is non-engagement, not displacement. ServiceTitan has lower momentum in restoration vertical than in plumbing/HVAC — gives ServiceBridge a clearer runway. Restoration-specific competitors (DASH, Encircle, Mica) handle insurance documentation but lack full FSM workflow.</w:t>
            </w:r>
          </w:p>
          <w:p>
            <w:pPr>
              <w:spacing w:after="100"/>
            </w:pPr>
            <w:r>
              <w:rPr>
                <w:color w:val="3A4A5C"/>
                <w:sz w:val="19"/>
                <w:szCs w:val="19"/>
              </w:rPr>
              <w:t xml:space="preserve">Adjacent BFG brands DUCTZ + HOODZ pattern provides credibility and reduces 1-800 Water Damage brand-corp implementation risk. Lead any conversation with sister-brand context.</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1-800 Water Damage</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1-800 Water Damage dimension scores: Greenfield 95/100, Network 70/100, PE 75/100, DM Access 80/100, Urgency 80/100, Displacement 50/100, C/B Mix 70/100.</w:t>
            </w:r>
          </w:p>
          <w:p>
            <w:pPr>
              <w:spacing w:after="100"/>
            </w:pPr>
            <w:r>
              <w:rPr>
                <w:color w:val="3A4A5C"/>
                <w:sz w:val="19"/>
                <w:szCs w:val="19"/>
              </w:rPr>
              <w:t xml:space="preserve">Weighted base score: (95×0.30) + (70×0.15) + (75×0.10) + (80×0.15) + (80×0.15) + (50×0.05) + (70×0.10) = 80 base. Plus parent inheritance bonus +25 (P2 · #1 DE-FACTO ANCHOR) + modifier +1 = 106 total.</w:t>
            </w:r>
          </w:p>
          <w:p>
            <w:pPr>
              <w:spacing w:after="100"/>
            </w:pPr>
            <w:r>
              <w:rPr>
                <w:color w:val="3A4A5C"/>
                <w:sz w:val="19"/>
                <w:szCs w:val="19"/>
              </w:rPr>
              <w:t xml:space="preserve">Score 106 = T1 LEAD PILOT — DEEP ENGAGE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1-800 Water Damage readiness package —</w:t>
      </w:r>
    </w:p>
    <w:p>
      <w:pPr>
        <w:spacing w:after="60" w:before="60"/>
      </w:pPr>
      <w:r>
        <w:t xml:space="preserve"/>
      </w:r>
    </w:p>
    <w:p>
      <w:pPr>
        <w:jc w:val="center"/>
      </w:pPr>
      <w:r>
        <w:rPr>
          <w:i/>
          <w:iCs/>
          <w:color w:val="6B7A8B"/>
          <w:sz w:val="15"/>
          <w:szCs w:val="15"/>
        </w:rPr>
        <w:t xml:space="preserve">Velocity GTM Co LLC  ·  Stage 2 Brand-Corp Readiness  ·  1-800 Water Damage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NORTHSTAR REFERENCE  ·  1-800 WATER DAMAGE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1-800 Water Damage Stage 2 Brand-Corp Readiness Package — CRM v15.6</dc:title>
  <dc:creator>Michael Montgomery Flynt Jr</dc:creator>
  <cp:lastModifiedBy>Un-named</cp:lastModifiedBy>
  <cp:revision>1</cp:revision>
  <dcterms:created xsi:type="dcterms:W3CDTF">2026-04-30T23:50:06.684Z</dcterms:created>
  <dcterms:modified xsi:type="dcterms:W3CDTF">2026-04-30T23:50:06.685Z</dcterms:modified>
</cp:coreProperties>
</file>

<file path=docProps/custom.xml><?xml version="1.0" encoding="utf-8"?>
<Properties xmlns="http://schemas.openxmlformats.org/officeDocument/2006/custom-properties" xmlns:vt="http://schemas.openxmlformats.org/officeDocument/2006/docPropsVTypes"/>
</file>