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Aire Serv (non-ST)</w:t>
      </w:r>
    </w:p>
    <w:p>
      <w:pPr>
        <w:spacing w:after="120"/>
        <w:jc w:val="center"/>
      </w:pPr>
      <w:r>
        <w:rPr>
          <w:i/>
          <w:iCs/>
          <w:color w:val="6B7A8B"/>
          <w:sz w:val="17"/>
          <w:szCs w:val="17"/>
        </w:rPr>
        <w:t xml:space="preserve">Parent: Neighborly  ·  Vertical: HVAC services — non-ServiceTitan locations only</w:t>
      </w:r>
    </w:p>
    <w:p>
      <w:pPr>
        <w:spacing w:after="120"/>
        <w:jc w:val="center"/>
      </w:pPr>
      <w:r>
        <w:rPr>
          <w:i/>
          <w:iCs/>
          <w:color w:val="6B7A8B"/>
          <w:sz w:val="17"/>
          <w:szCs w:val="17"/>
        </w:rPr>
        <w:t xml:space="preserve">V2 Score: 61  ·  Tier: T5 QUEUE — DEVELOP  ·  P1 · #1 · PE-GATED</w:t>
      </w:r>
    </w:p>
    <w:p>
      <w:pPr>
        <w:spacing w:after="60" w:before="60"/>
      </w:pPr>
      <w:r>
        <w:t xml:space="preserve"/>
      </w:r>
    </w:p>
    <w:tbl>
      <w:tblPr>
        <w:tblW w:type="dxa" w:w="10080"/>
        <w:tblBorders>
          <w:top w:val="single" w:color="185FA5" w:sz="0"/>
          <w:left w:val="single" w:color="185FA5" w:sz="0"/>
          <w:bottom w:val="single" w:color="185FA5" w:sz="0"/>
          <w:right w:val="single" w:color="185FA5" w:sz="0"/>
          <w:insideH w:val="single" w:color="auto" w:sz="4"/>
          <w:insideV w:val="single" w:color="auto" w:sz="4"/>
        </w:tblBorders>
      </w:tblPr>
      <w:tblGrid>
        <w:gridCol w:w="10080"/>
      </w:tblGrid>
      <w:tr>
        <w:tc>
          <w:tcPr>
            <w:tcW w:type="dxa" w:w="10080"/>
            <w:tcBorders>
              <w:top w:val="single" w:color="185FA5" w:sz="4"/>
              <w:left w:val="single" w:color="185FA5" w:sz="4"/>
              <w:bottom w:val="single" w:color="185FA5" w:sz="4"/>
              <w:right w:val="single" w:color="185FA5" w:sz="4"/>
            </w:tcBorders>
            <w:shd w:fill="185FA5" w:val="clear"/>
            <w:tcMar>
              <w:top w:type="dxa" w:w="180"/>
              <w:left w:type="dxa" w:w="280"/>
              <w:bottom w:type="dxa" w:w="180"/>
              <w:right w:type="dxa" w:w="280"/>
            </w:tcMar>
            <w:vAlign w:val="center"/>
          </w:tcPr>
          <w:p>
            <w:pPr>
              <w:jc w:val="center"/>
            </w:pPr>
            <w:r>
              <w:rPr>
                <w:b/>
                <w:bCs/>
                <w:color w:val="FFFFFF"/>
                <w:spacing w:val="80"/>
                <w:sz w:val="26"/>
                <w:szCs w:val="26"/>
              </w:rPr>
              <w:t xml:space="preserve">🟢  T5 QUEUE — DEVELOP</w:t>
            </w:r>
          </w:p>
        </w:tc>
      </w:tr>
    </w:tbl>
    <w:p>
      <w:pPr>
        <w:spacing w:after="120" w:before="120"/>
      </w:pPr>
      <w:r>
        <w:t xml:space="preserve"/>
      </w:r>
    </w:p>
    <w:p>
      <w:pPr>
        <w:spacing w:after="120" w:before="240"/>
      </w:pPr>
      <w:r>
        <w:rPr>
          <w:b/>
          <w:bCs/>
          <w:color w:val="1A2B3C"/>
          <w:sz w:val="28"/>
          <w:szCs w:val="28"/>
        </w:rPr>
        <w:t xml:space="preserve">My read on Aire Serv (non-ST)</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Aire Serv (non-ST) is the engageable HVAC subset within Neighborly</w:t>
            </w:r>
          </w:p>
          <w:p>
            <w:pPr>
              <w:spacing w:after="100"/>
            </w:pPr>
            <w:r>
              <w:rPr>
                <w:color w:val="3A4A5C"/>
                <w:sz w:val="19"/>
                <w:szCs w:val="19"/>
              </w:rPr>
              <w:t xml:space="preserve">Aire Serv (non-ST) represents the carved-out engageable subset within Aire Serv — Neighborly's HVAC brand. The main Aire Serv brand operates under the ServiceTitan mandate (since 2012, ~2,500 techs across 500 locations), but a subset of locations and franchisees operate outside that mandate. Per CRM v15.6, this engageable subset is approximately 100 locations × 5 techs/loc = 500 techs.</w:t>
            </w:r>
          </w:p>
          <w:p>
            <w:pPr>
              <w:spacing w:after="100"/>
            </w:pPr>
            <w:r>
              <w:rPr>
                <w:color w:val="3A4A5C"/>
                <w:sz w:val="19"/>
                <w:szCs w:val="19"/>
              </w:rPr>
              <w:t xml:space="preserve">HVAC is one of the most ServiceTitan-saturated franchise verticals — they have systematic share dominance through HVAC ESCO partnerships and franchise relationships. The non-ST Aire Serv subset is meaningful precisely because HVAC dispatch + billing + multi-truck workflows are sweet-spot SB use cases. Even with PE-gated constraints, the operational fit is strong.</w:t>
            </w:r>
          </w:p>
          <w:p>
            <w:pPr>
              <w:spacing w:after="100"/>
            </w:pPr>
            <w:r>
              <w:rPr>
                <w:color w:val="3A4A5C"/>
                <w:sz w:val="19"/>
                <w:szCs w:val="19"/>
              </w:rPr>
              <w:t xml:space="preserve">Strategic frame: Aire Serv (non-ST) sits parallel to Mr. Electric (non-ST) and Mosquito Joe (non-ST) — three engageable Neighborly subsets that benefit from coordinated brand-corp engagement through the PE-gated pathway.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HVAC vertical fits SB strongly — dispatch density, multi-truck mobilization, complex billing. Non-ST subset is the engageable expression of that fit within Neighborly.</w:t>
      </w:r>
    </w:p>
    <w:p>
      <w:pPr>
        <w:pStyle w:val="ListParagraph"/>
        <w:numPr>
          <w:ilvl w:val="0"/>
          <w:numId w:val="2"/>
        </w:numPr>
        <w:spacing w:after="80"/>
      </w:pPr>
      <w:r>
        <w:rPr>
          <w:color w:val="3A4A5C"/>
          <w:sz w:val="19"/>
          <w:szCs w:val="19"/>
        </w:rPr>
        <w:t xml:space="preserve">Non-ST subset across Aire Serv + Mr. Electric + Mosquito Joe represents coordinated engagement opportunity — same brand-corp leadership patterns, same engagement constraints.</w:t>
      </w:r>
    </w:p>
    <w:p>
      <w:pPr>
        <w:pStyle w:val="ListParagraph"/>
        <w:numPr>
          <w:ilvl w:val="0"/>
          <w:numId w:val="2"/>
        </w:numPr>
        <w:spacing w:after="80"/>
      </w:pPr>
      <w:r>
        <w:rPr>
          <w:color w:val="3A4A5C"/>
          <w:sz w:val="19"/>
          <w:szCs w:val="19"/>
        </w:rPr>
        <w:t xml:space="preserve">ST mandate displacement is the long game. Non-ST engagement is the wedge.</w:t>
      </w:r>
    </w:p>
    <w:p>
      <w:pPr>
        <w:pStyle w:val="ListParagraph"/>
        <w:numPr>
          <w:ilvl w:val="0"/>
          <w:numId w:val="2"/>
        </w:numPr>
        <w:spacing w:after="80"/>
      </w:pPr>
      <w:r>
        <w:rPr>
          <w:color w:val="3A4A5C"/>
          <w:sz w:val="19"/>
          <w:szCs w:val="19"/>
        </w:rPr>
        <w:t xml:space="preserve">Smart Fleet USA preferred-telematics conflict flag applies — coordinate any GPSI-led approach carefully.</w:t>
      </w:r>
    </w:p>
    <w:p>
      <w:pPr>
        <w:pStyle w:val="ListParagraph"/>
        <w:numPr>
          <w:ilvl w:val="0"/>
          <w:numId w:val="2"/>
        </w:numPr>
        <w:spacing w:after="80"/>
      </w:pPr>
      <w:r>
        <w:rPr>
          <w:color w:val="3A4A5C"/>
          <w:sz w:val="19"/>
          <w:szCs w:val="19"/>
        </w:rPr>
        <w:t xml:space="preserve">Y1@10% on non-ST subset alone = ~$15K. Strategic value of brand-corp relationship building &gt; revenue value at this scale.</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HVAC services — non-ServiceTitan locations only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Aire Serv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100 (estimated,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500 (~5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mandate on this subset (carved out from ST mandate covering main Aire Serv brand)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Aire Serv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for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HVAC-vertical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heavy residential consumer + light commercial HVAC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Aire Serv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AIRE SERV (NON-ST)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HVAC — STRONG ServiceBridge fit (dispatch density, multi-truck, complex billing)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HVAC is one of SB's strongest natural verticals — operationally aligned with feature set.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Small subset — ~100 locs / ~500 techs (non-ST carved out from larger Aire Serv)</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Mid-size for non-ST subset. Materially engageable but capped by carve-out scale.</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within non-ST subset; ServiceTitan dominates the broader Aire Serv brand (since 2012)</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within carve-out. ST mandate above creates wedge displacement opportunity at contract cycles.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Aire Serv (non-ST)'s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HVAC vertical: ACHR News, Contracting Business, HVACR Business. Indoor air quality: AQ News.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HVAC industry: AHR Expo, ACCA Conference.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AIRE SERV (NON-ST)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$10K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HVAC dispatch density · multi-truck routing · billing capture · seasonal load management</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(Aire Serv (non-ST)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$5M / yr (non-ST subset only)</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~500 techs × $10K (HVAC premium over electrical)</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 on non-ST subset</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$15K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seasonal HVAC scheduling adds 15 days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HVAC franchisees in non-ST subset have explicitly opted out of the brand mandate — likely platform-aware operators. Brand-led FSM via PE-gated pathway formalizes their existing platform flexibility.</w:t>
      </w:r>
    </w:p>
    <w:p>
      <w:pPr>
        <w:pStyle w:val="ListParagraph"/>
        <w:numPr>
          <w:ilvl w:val="0"/>
          <w:numId w:val="2"/>
        </w:numPr>
        <w:spacing w:after="80"/>
      </w:pPr>
      <w:r>
        <w:rPr>
          <w:color w:val="3A4A5C"/>
          <w:sz w:val="19"/>
          <w:szCs w:val="19"/>
        </w:rPr>
        <w:t xml:space="preserve">Franchisee recruitment: HVAC franchise prospects evaluate technology stack heavily — dispatch tooling determines unit economics. Neighborly portfolio inclusion lifts recruitment.</w:t>
      </w:r>
    </w:p>
    <w:p>
      <w:pPr>
        <w:pStyle w:val="ListParagraph"/>
        <w:numPr>
          <w:ilvl w:val="0"/>
          <w:numId w:val="2"/>
        </w:numPr>
        <w:spacing w:after="80"/>
      </w:pPr>
      <w:r>
        <w:rPr>
          <w:color w:val="3A4A5C"/>
          <w:sz w:val="19"/>
          <w:szCs w:val="19"/>
        </w:rPr>
        <w:t xml:space="preserve">Reporting visibility: Neighborly currently has limited brand-corp visibility into non-ST subset HVAC operations. Standardized data captures missing seasonal-load and dispatch telemetry.</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Aire Serv (non-ST) compound at Neighborly portfolio level only when coordinated through PE-gated pathway. Coordinated engagement across non-ST subsets (Aire Serv + Mr. Electric + Mosquito Joe) builds brand-corp adoption pattern that bridges to the broader Neighborly portfolio narrative for KKR pre-exit. Internal narrative;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Aire Serv (non-ST) FSM posture: GREENFIELD (within non-ST carve-out)</w:t>
            </w:r>
          </w:p>
          <w:p>
            <w:pPr>
              <w:spacing w:after="100"/>
            </w:pPr>
            <w:r>
              <w:rPr>
                <w:color w:val="3A4A5C"/>
                <w:sz w:val="19"/>
                <w:szCs w:val="19"/>
              </w:rPr>
              <w:t xml:space="preserve">Aire Serv (non-ST) operates in GREENFIELD posture within the carved-out subset — but the broader brand is MANDATED to ServiceTitan since 2012. ServiceTitan has the deepest market saturation in franchise HVAC.</w:t>
            </w:r>
          </w:p>
          <w:p>
            <w:pPr>
              <w:spacing w:after="100"/>
            </w:pPr>
            <w:r>
              <w:rPr>
                <w:color w:val="3A4A5C"/>
                <w:sz w:val="19"/>
                <w:szCs w:val="19"/>
              </w:rPr>
              <w:t xml:space="preserve">Generalized framework: brand corps split into four FSM postures — (1) MANDATED, (2) PREFERRED, (3) MIXED, (4) GREENFIELD. Aire Serv (non-ST) = GREENFIELD subset within MANDATED parent brand.</w:t>
            </w:r>
          </w:p>
          <w:p>
            <w:pPr>
              <w:spacing w:after="100"/>
            </w:pPr>
            <w:r>
              <w:rPr>
                <w:color w:val="3A4A5C"/>
                <w:sz w:val="19"/>
                <w:szCs w:val="19"/>
              </w:rPr>
              <w:t xml:space="preserve">Competitive risk: ServiceTitan actively expanding within Aire Serv. Non-ST subset is the consolidation target. Engagement window narrows.</w:t>
            </w:r>
          </w:p>
          <w:p>
            <w:pPr>
              <w:spacing w:after="100"/>
            </w:pPr>
            <w:r>
              <w:rPr>
                <w:color w:val="3A4A5C"/>
                <w:sz w:val="19"/>
                <w:szCs w:val="19"/>
              </w:rPr>
              <w:t xml:space="preserve">Coordinate engagement across Mr. Electric (non-ST) and Mosquito Joe (non-ST) — same brand-corp leadership, same constraints, same opportunity pattern.</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Aire Serv (non-ST)</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Aire Serv (non-ST) dimension scores: Greenfield 70/100, Network 35/100, PE 90/100, DM Access 40/100, Urgency 75/100, Displacement 35/100, C/B Mix 60/100.</w:t>
            </w:r>
          </w:p>
          <w:p>
            <w:pPr>
              <w:spacing w:after="100"/>
            </w:pPr>
            <w:r>
              <w:rPr>
                <w:color w:val="3A4A5C"/>
                <w:sz w:val="19"/>
                <w:szCs w:val="19"/>
              </w:rPr>
              <w:t xml:space="preserve">Weighted base score: (70×0.30) + (35×0.15) + (90×0.10) + (40×0.15) + (75×0.15) + (35×0.05) + (60×0.10) = 56 base. Plus parent inheritance bonus +5 (P1 · #1 PE-GATED)  = 61 total.</w:t>
            </w:r>
          </w:p>
          <w:p>
            <w:pPr>
              <w:spacing w:after="100"/>
            </w:pPr>
            <w:r>
              <w:rPr>
                <w:color w:val="3A4A5C"/>
                <w:sz w:val="19"/>
                <w:szCs w:val="19"/>
              </w:rPr>
              <w:t xml:space="preserve">Score 61 = T5 QUEUE — DEVELOP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Aire Serv (non-ST) readiness package —</w:t>
      </w:r>
    </w:p>
    <w:p>
      <w:pPr>
        <w:spacing w:after="60" w:before="60"/>
      </w:pPr>
      <w:r>
        <w:t xml:space="preserve"/>
      </w:r>
    </w:p>
    <w:p>
      <w:pPr>
        <w:jc w:val="center"/>
      </w:pPr>
      <w:r>
        <w:rPr>
          <w:i/>
          <w:iCs/>
          <w:color w:val="6B7A8B"/>
          <w:sz w:val="15"/>
          <w:szCs w:val="15"/>
        </w:rPr>
        <w:t xml:space="preserve">Velocity GTM Co LLC  ·  Stage 2 Brand-Corp Readiness  ·  Aire Serv (non-ST)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AIRE SERV (NON-ST)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Aire Serv (non-ST) Stage 2 Brand-Corp Readiness Package — CRM v15.6</dc:title>
  <dc:creator>Michael Montgomery Flynt Jr</dc:creator>
  <cp:lastModifiedBy>Un-named</cp:lastModifiedBy>
  <cp:revision>1</cp:revision>
  <dcterms:created xsi:type="dcterms:W3CDTF">2026-04-30T23:55:09.759Z</dcterms:created>
  <dcterms:modified xsi:type="dcterms:W3CDTF">2026-04-30T23:55:09.759Z</dcterms:modified>
</cp:coreProperties>
</file>

<file path=docProps/custom.xml><?xml version="1.0" encoding="utf-8"?>
<Properties xmlns="http://schemas.openxmlformats.org/officeDocument/2006/custom-properties" xmlns:vt="http://schemas.openxmlformats.org/officeDocument/2006/docPropsVTypes"/>
</file>