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1A2B3C"/>
          <w:sz w:val="36"/>
          <w:szCs w:val="36"/>
        </w:rPr>
        <w:t xml:space="preserve">Stage 2 · Brand-Corp Readiness</w:t>
      </w:r>
    </w:p>
    <w:p>
      <w:pPr>
        <w:spacing w:after="80"/>
        <w:jc w:val="center"/>
      </w:pPr>
      <w:r>
        <w:rPr>
          <w:b/>
          <w:bCs/>
          <w:color w:val="185FA5"/>
          <w:sz w:val="22"/>
          <w:szCs w:val="22"/>
        </w:rPr>
        <w:t xml:space="preserve">Blue Kangaroo Packoutz</w:t>
      </w:r>
    </w:p>
    <w:p>
      <w:pPr>
        <w:spacing w:after="120"/>
        <w:jc w:val="center"/>
      </w:pPr>
      <w:r>
        <w:rPr>
          <w:i/>
          <w:iCs/>
          <w:color w:val="6B7A8B"/>
          <w:sz w:val="17"/>
          <w:szCs w:val="17"/>
        </w:rPr>
        <w:t xml:space="preserve">Parent: BELFOR Franchise Group  ·  Vertical: Contents restoration &amp; packout services</w:t>
      </w:r>
    </w:p>
    <w:p>
      <w:pPr>
        <w:spacing w:after="120"/>
        <w:jc w:val="center"/>
      </w:pPr>
      <w:r>
        <w:rPr>
          <w:i/>
          <w:iCs/>
          <w:color w:val="6B7A8B"/>
          <w:sz w:val="17"/>
          <w:szCs w:val="17"/>
        </w:rPr>
        <w:t xml:space="preserve">V2 Score: 106  ·  Tier: T1 LEAD PILOT — DEEP ENGAGE  ·  P2 · #1 · DE-FACTO ANCHOR</w:t>
      </w:r>
    </w:p>
    <w:p>
      <w:pPr>
        <w:spacing w:after="60" w:before="60"/>
      </w:pPr>
      <w:r>
        <w:t xml:space="preserve"/>
      </w:r>
    </w:p>
    <w:tbl>
      <w:tblPr>
        <w:tblW w:type="dxa" w:w="10080"/>
        <w:tblBorders>
          <w:top w:val="single" w:color="0B3D6B" w:sz="0"/>
          <w:left w:val="single" w:color="0B3D6B" w:sz="0"/>
          <w:bottom w:val="single" w:color="0B3D6B" w:sz="0"/>
          <w:right w:val="single" w:color="0B3D6B" w:sz="0"/>
          <w:insideH w:val="single" w:color="auto" w:sz="4"/>
          <w:insideV w:val="single" w:color="auto" w:sz="4"/>
        </w:tblBorders>
      </w:tblPr>
      <w:tblGrid>
        <w:gridCol w:w="10080"/>
      </w:tblGrid>
      <w:tr>
        <w:tc>
          <w:tcPr>
            <w:tcW w:type="dxa" w:w="10080"/>
            <w:tcBorders>
              <w:top w:val="single" w:color="0B3D6B" w:sz="4"/>
              <w:left w:val="single" w:color="0B3D6B" w:sz="4"/>
              <w:bottom w:val="single" w:color="0B3D6B" w:sz="4"/>
              <w:right w:val="single" w:color="0B3D6B" w:sz="4"/>
            </w:tcBorders>
            <w:shd w:fill="0B3D6B" w:val="clear"/>
            <w:tcMar>
              <w:top w:type="dxa" w:w="180"/>
              <w:left w:type="dxa" w:w="280"/>
              <w:bottom w:type="dxa" w:w="180"/>
              <w:right w:type="dxa" w:w="280"/>
            </w:tcMar>
            <w:vAlign w:val="center"/>
          </w:tcPr>
          <w:p>
            <w:pPr>
              <w:jc w:val="center"/>
            </w:pPr>
            <w:r>
              <w:rPr>
                <w:b/>
                <w:bCs/>
                <w:color w:val="FFFFFF"/>
                <w:spacing w:val="80"/>
                <w:sz w:val="24"/>
                <w:szCs w:val="24"/>
              </w:rPr>
              <w:t xml:space="preserve">⭐  NORTHSTAR REFERENCE  ·  P2 PATTERN LIBRARY</w:t>
            </w:r>
          </w:p>
          <w:p>
            <w:pPr>
              <w:spacing w:before="80"/>
              <w:jc w:val="center"/>
            </w:pPr>
            <w:r>
              <w:rPr>
                <w:i/>
                <w:iCs/>
                <w:color w:val="FFFFFF"/>
                <w:sz w:val="16"/>
                <w:szCs w:val="16"/>
              </w:rPr>
              <w:t xml:space="preserve">Use as reference pattern for greenfield engagement at Track 1 P1 brands  ·  Not currently an active engagement target</w:t>
            </w:r>
          </w:p>
        </w:tc>
      </w:tr>
    </w:tbl>
    <w:p>
      <w:pPr>
        <w:spacing w:after="60" w:before="60"/>
      </w:pPr>
      <w:r>
        <w:t xml:space="preserve"/>
      </w:r>
    </w:p>
    <w:tbl>
      <w:tblPr>
        <w:tblW w:type="dxa" w:w="10080"/>
        <w:tblBorders>
          <w:top w:val="single" w:color="8B0000" w:sz="0"/>
          <w:left w:val="single" w:color="8B0000" w:sz="0"/>
          <w:bottom w:val="single" w:color="8B0000" w:sz="0"/>
          <w:right w:val="single" w:color="8B0000" w:sz="0"/>
          <w:insideH w:val="single" w:color="auto" w:sz="4"/>
          <w:insideV w:val="single" w:color="auto" w:sz="4"/>
        </w:tblBorders>
      </w:tblPr>
      <w:tblGrid>
        <w:gridCol w:w="10080"/>
      </w:tblGrid>
      <w:tr>
        <w:tc>
          <w:tcPr>
            <w:tcW w:type="dxa" w:w="10080"/>
            <w:tcBorders>
              <w:top w:val="single" w:color="8B0000" w:sz="4"/>
              <w:left w:val="single" w:color="8B0000" w:sz="4"/>
              <w:bottom w:val="single" w:color="8B0000" w:sz="4"/>
              <w:right w:val="single" w:color="8B0000" w:sz="4"/>
            </w:tcBorders>
            <w:shd w:fill="8B0000" w:val="clear"/>
            <w:tcMar>
              <w:top w:type="dxa" w:w="180"/>
              <w:left w:type="dxa" w:w="280"/>
              <w:bottom w:type="dxa" w:w="180"/>
              <w:right w:type="dxa" w:w="280"/>
            </w:tcMar>
            <w:vAlign w:val="center"/>
          </w:tcPr>
          <w:p>
            <w:pPr>
              <w:jc w:val="center"/>
            </w:pPr>
            <w:r>
              <w:rPr>
                <w:b/>
                <w:bCs/>
                <w:color w:val="FFFFFF"/>
                <w:spacing w:val="80"/>
                <w:sz w:val="26"/>
                <w:szCs w:val="26"/>
              </w:rPr>
              <w:t xml:space="preserve">🔴  T1 LEAD PILOT — DEEP ENGAGE</w:t>
            </w:r>
          </w:p>
        </w:tc>
      </w:tr>
    </w:tbl>
    <w:p>
      <w:pPr>
        <w:spacing w:after="120" w:before="120"/>
      </w:pPr>
      <w:r>
        <w:t xml:space="preserve"/>
      </w:r>
    </w:p>
    <w:p>
      <w:pPr>
        <w:spacing w:after="120" w:before="240"/>
      </w:pPr>
      <w:r>
        <w:rPr>
          <w:b/>
          <w:bCs/>
          <w:color w:val="1A2B3C"/>
          <w:sz w:val="28"/>
          <w:szCs w:val="28"/>
        </w:rPr>
        <w:t xml:space="preserve">My read on Blue Kangaroo Packoutz</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Why Blue Kangaroo Packoutz scores #3 of 78 — the contents-restoration niche advantage</w:t>
            </w:r>
          </w:p>
          <w:p>
            <w:pPr>
              <w:spacing w:after="100"/>
            </w:pPr>
            <w:r>
              <w:rPr>
                <w:color w:val="3A4A5C"/>
                <w:sz w:val="19"/>
                <w:szCs w:val="19"/>
              </w:rPr>
              <w:t xml:space="preserve">Blue Kangaroo Packoutz scored 106 — tied for second-highest in Track 2 — because it occupies a specialized, high-margin niche within BELFOR's restoration ecosystem: contents pack-out and pack-back services. This vertical has even more complex operational workflows than general water damage restoration: detailed inventory documentation, photographic evidence chains, climate-controlled storage tracking, and intricate insurance reimbursement processes. ServiceBridge's job-site documentation and audit trail capabilities are differentiated in this vertical specifically — sister brands DUCTZ and HOODZ don't have the same documentation complexity.</w:t>
            </w:r>
          </w:p>
          <w:p>
            <w:pPr>
              <w:spacing w:after="100"/>
            </w:pPr>
            <w:r>
              <w:rPr>
                <w:color w:val="3A4A5C"/>
                <w:sz w:val="19"/>
                <w:szCs w:val="19"/>
              </w:rPr>
              <w:t xml:space="preserve">What this means strategically: Blue Kangaroo Packoutz is the BELFOR brand where ServiceBridge's specific feature set delivers the sharpest operational ROI. The franchisee buyer cares about insurance documentation completeness because it directly determines whether claims get paid in full or contested. SB's photo + checklist + signature chain workflows match this need precisely. This is a high-fit, high-velocity engagement target — the niche specificity actually accelerates the sale because the value is more legible.</w:t>
            </w:r>
          </w:p>
          <w:p>
            <w:pPr>
              <w:spacing w:after="100"/>
            </w:pPr>
            <w:r>
              <w:rPr>
                <w:color w:val="3A4A5C"/>
                <w:sz w:val="19"/>
                <w:szCs w:val="19"/>
              </w:rPr>
              <w:t xml:space="preserve">Important context: Blue Kangaroo Packoutz is a smaller portfolio brand (estimated 100 locations / 500 techs) but punches above its weight on score because every brand-corp profile signal aligns. The ROI ceiling is lower than 1-800 Water Damage in absolute dollars but the win rate should be higher.</w:t>
            </w:r>
          </w:p>
        </w:tc>
      </w:tr>
    </w:tbl>
    <w:p>
      <w:pPr>
        <w:spacing w:after="120" w:before="120"/>
      </w:pPr>
      <w:r>
        <w:t xml:space="preserve"/>
      </w:r>
    </w:p>
    <w:p>
      <w:pPr>
        <w:spacing w:after="120" w:before="240"/>
      </w:pPr>
      <w:r>
        <w:rPr>
          <w:b/>
          <w:bCs/>
          <w:color w:val="1A2B3C"/>
          <w:sz w:val="28"/>
          <w:szCs w:val="28"/>
        </w:rPr>
        <w:t xml:space="preserve">Where this teaches us to land it</w:t>
      </w:r>
    </w:p>
    <w:p>
      <w:pPr>
        <w:pStyle w:val="ListParagraph"/>
        <w:numPr>
          <w:ilvl w:val="0"/>
          <w:numId w:val="2"/>
        </w:numPr>
        <w:spacing w:after="80"/>
      </w:pPr>
      <w:r>
        <w:rPr>
          <w:color w:val="3A4A5C"/>
          <w:sz w:val="19"/>
          <w:szCs w:val="19"/>
        </w:rPr>
        <w:t xml:space="preserve">Niche restoration verticals favor SB even more sharply than general restoration. The more specialized the documentation requirement, the higher the operational ROI.</w:t>
      </w:r>
    </w:p>
    <w:p>
      <w:pPr>
        <w:pStyle w:val="ListParagraph"/>
        <w:numPr>
          <w:ilvl w:val="0"/>
          <w:numId w:val="2"/>
        </w:numPr>
        <w:spacing w:after="80"/>
      </w:pPr>
      <w:r>
        <w:rPr>
          <w:color w:val="3A4A5C"/>
          <w:sz w:val="19"/>
          <w:szCs w:val="19"/>
        </w:rPr>
        <w:t xml:space="preserve">Insurance reimbursement completeness IS the franchisee economic story here. Pitch the documentation chain workflow first, then the dispatch efficiency, then the billing capture.</w:t>
      </w:r>
    </w:p>
    <w:p>
      <w:pPr>
        <w:pStyle w:val="ListParagraph"/>
        <w:numPr>
          <w:ilvl w:val="0"/>
          <w:numId w:val="2"/>
        </w:numPr>
        <w:spacing w:after="80"/>
      </w:pPr>
      <w:r>
        <w:rPr>
          <w:color w:val="3A4A5C"/>
          <w:sz w:val="19"/>
          <w:szCs w:val="19"/>
        </w:rPr>
        <w:t xml:space="preserve">Smaller brand-corp footprint means less bureaucracy. Decision velocity should be faster than at 1-800 Water Damage or DUCTZ.</w:t>
      </w:r>
    </w:p>
    <w:p>
      <w:pPr>
        <w:pStyle w:val="ListParagraph"/>
        <w:numPr>
          <w:ilvl w:val="0"/>
          <w:numId w:val="2"/>
        </w:numPr>
        <w:spacing w:after="80"/>
      </w:pPr>
      <w:r>
        <w:rPr>
          <w:color w:val="3A4A5C"/>
          <w:sz w:val="19"/>
          <w:szCs w:val="19"/>
        </w:rPr>
        <w:t xml:space="preserve">BELFOR portfolio gravity still dominates the warm path. HOODZ + DUCTZ + 1-800 Water Damage adoption pattern is the credibility opener.</w:t>
      </w:r>
    </w:p>
    <w:p>
      <w:pPr>
        <w:pStyle w:val="ListParagraph"/>
        <w:numPr>
          <w:ilvl w:val="0"/>
          <w:numId w:val="2"/>
        </w:numPr>
        <w:spacing w:after="80"/>
      </w:pPr>
      <w:r>
        <w:rPr>
          <w:color w:val="3A4A5C"/>
          <w:sz w:val="19"/>
          <w:szCs w:val="19"/>
        </w:rPr>
        <w:t xml:space="preserve">Pack-out / pack-back is climate-sensitive — operations run on tight timelines with multiple checkpoints. SB's job-site signature workflows match exactly.</w:t>
      </w:r>
    </w:p>
    <w:p>
      <w:pPr>
        <w:spacing w:after="120" w:before="120"/>
      </w:pPr>
      <w:r>
        <w:t xml:space="preserve"/>
      </w:r>
    </w:p>
    <w:p>
      <w:pPr>
        <w:spacing w:after="120" w:before="240"/>
      </w:pPr>
      <w:r>
        <w:rPr>
          <w:b/>
          <w:bCs/>
          <w:color w:val="1A2B3C"/>
          <w:sz w:val="28"/>
          <w:szCs w:val="28"/>
        </w:rPr>
        <w:t xml:space="preserve">📊  What we know — with sources</w:t>
      </w:r>
    </w:p>
    <w:p>
      <w:pPr>
        <w:spacing w:after="120"/>
      </w:pPr>
      <w:r>
        <w:rPr>
          <w:color w:val="3A4A5C"/>
          <w:sz w:val="19"/>
          <w:szCs w:val="19"/>
        </w:rPr>
        <w:t xml:space="preserve">Verified data points and intel gaps. This is the section to populate first as we close gaps with Andrea's team and GPSI database queries.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1500"/>
        <w:gridCol w:w="1900"/>
        <w:gridCol w:w="780"/>
      </w:tblGrid>
      <w:tr>
        <w:trPr>
          <w:tblHeader/>
        </w:trPr>
        <w:tc>
          <w:tcPr>
            <w:tcW w:type="dxa" w:w="30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DATA POINT</w:t>
            </w:r>
          </w:p>
        </w:tc>
        <w:tc>
          <w:tcPr>
            <w:tcW w:type="dxa" w:w="2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VALUE</w:t>
            </w:r>
          </w:p>
        </w:tc>
        <w:tc>
          <w:tcPr>
            <w:tcW w:type="dxa" w:w="15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CONFIDENCE</w:t>
            </w:r>
          </w:p>
        </w:tc>
        <w:tc>
          <w:tcPr>
            <w:tcW w:type="dxa" w:w="1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SOURCE</w:t>
            </w:r>
          </w:p>
        </w:tc>
        <w:tc>
          <w:tcPr>
            <w:tcW w:type="dxa" w:w="78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VERIFIED</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franchisor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BELFOR Franchise Group</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BFG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Parent PE owner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American Securities</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American Securities portfolio</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tier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P2 · DE-FACTO ANCHOR</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V2 ranking model</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Vertical</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Contents restoration &amp; packout services</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bluekangaroopackoutz.com</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network — locations</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100 (estimated)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tech count</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500 (~5 techs/loc)</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ServiceBridge penetration</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likely 30-50% organic (smaller network higher concentration)</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GPSI database query</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Franchisor mandate status</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NO formal mandate — greenfield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V2 character: GREENFIELD</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president</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research gap</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ops/tech leader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TBD — research gap</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Accounting stack at franchisee</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Likely QuickBooks-mixed; specialty contents tracking tools</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Contents-restoration vertical pattern</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Telematics overlap (GPSI)</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TBD — GPSI database query</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GPSI customer database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GPO / buying group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BELFOR FG-level (no separate brand GPO)</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BFG portfolio structure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Customer mix (B2B vs consumer)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Mixed — residential + commercial + insurance heavy</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Blue Kangaroo Packoutz service offerings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Public visibility (brand corp)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Low-moderate — niche brand, modest social presence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web search</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bl>
    <w:p>
      <w:pPr>
        <w:spacing w:after="160" w:before="160"/>
      </w:pPr>
      <w:r>
        <w:t xml:space="preserve"/>
      </w:r>
    </w:p>
    <w:p>
      <w:pPr>
        <w:spacing w:after="120" w:before="240"/>
      </w:pPr>
      <w:r>
        <w:rPr>
          <w:b/>
          <w:bCs/>
          <w:color w:val="1A2B3C"/>
          <w:sz w:val="28"/>
          <w:szCs w:val="28"/>
        </w:rPr>
        <w:t xml:space="preserve">🎯  Brand profile signals — the dimensions that drive engagement strategy</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Why this section matters</w:t>
            </w:r>
          </w:p>
          <w:p>
            <w:pPr>
              <w:spacing w:after="100"/>
            </w:pPr>
            <w:r>
              <w:rPr>
                <w:color w:val="3A4A5C"/>
                <w:sz w:val="19"/>
                <w:szCs w:val="19"/>
              </w:rPr>
              <w:t xml:space="preserve">Eleven signals diagnose any brand corp. Together they determine which engagement channels work, what the operational ROI story sounds like, and where the brand sits in priority. Score each signal high/medium/low and let the pattern guide channel selection.</w:t>
            </w:r>
          </w:p>
          <w:p>
            <w:pPr>
              <w:spacing w:after="100"/>
            </w:pPr>
            <w:r>
              <w:rPr>
                <w:color w:val="3A4A5C"/>
                <w:sz w:val="19"/>
                <w:szCs w:val="19"/>
              </w:rPr>
              <w:t xml:space="preserve">Two signals carry extra weight in V2 priority ranking: GREENFIELD + PAPER-BASED OPS (combined 25% weight) and ACCOUNTING STACK INDICATORS (QuickBooks-only is the strongest greenfield+paper proxy). Together these flag highest-velocity opportunities.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780"/>
      </w:tblGrid>
      <w:tr>
        <w:trPr>
          <w:tblHeader/>
        </w:trPr>
        <w:tc>
          <w:tcPr>
            <w:tcW w:type="dxa" w:w="33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SIGNAL</w:t>
            </w:r>
          </w:p>
        </w:tc>
        <w:tc>
          <w:tcPr>
            <w:tcW w:type="dxa" w:w="40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BLUE KANGAROO PACKOUTZ VALUE</w:t>
            </w:r>
          </w:p>
        </w:tc>
        <w:tc>
          <w:tcPr>
            <w:tcW w:type="dxa" w:w="2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ENGAGEMENT IMPLICATION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HIGH — no FSM mandate, restoration vertical paper-based historically</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PRIORITY BUMP. 25% weight at brand-corp level. Primary engagement opener.</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Accounting stack (QB / Intuit FSM / higher-tier)</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Likely QuickBooks-mixed; contents-tracking tools (Xactimate add-ons, specialty tools)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Insurance reimbursement complexity drives partial tooling — full FSM workflow gap remains the opportunity.</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Customer mix (B2B vs consumer)</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Mixed — heavy insurance carrier relationships drive workflow</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Insurance carrier-driven workflow has different ROI math than direct-to-consumer. Documentation completeness is the key lever.</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BELFOR FG-level (no separate brand GPO)</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BFG-level vendor vetting. Brand-corp endorsement can fast-track adoption via parent channel.</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Vertical fit</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Contents restoration — STRONGEST documentation/audit-trail fit (climate-controlled tracking, photographic evidence chains)</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Niche verticals with documentation complexity are SB sweet spots. Higher feature alignment than general FSM.</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Brand network size + tech count</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Smaller — ~100 locs / ~500 techs (CRM estimate)</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Smaller brand = faster decisions, less bureaucracy. Lower ARR ceiling but higher win rate.</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Geographic concentration</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National footprint with regional density</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Regional density matters for emergency-response operational story.</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TBD — research gap</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Restoration brands often have multi-unit operators. High density = enterprise-style buying conversation.</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TBD — GPSI database query (priority intel gap)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Highest weight on warm-path scoring. Even partial overlap unlocks introductions.</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GREENFIELD — no incumbent FSM mandate; ad-hoc franchisee choice</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Greenfield &gt; paper &gt; displacement. Engagement velocity highest here.</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TBD — research gap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If brand president stable: relationship play. If recent change: open-roadmap play.</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Low-moderate brand-corp visibility</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Warm-path / parent-franchisor route dominates. Direct outreach viable but not primary.</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r>
          </w:p>
        </w:tc>
      </w:tr>
    </w:tbl>
    <w:p>
      <w:pPr>
        <w:spacing w:after="160" w:before="160"/>
      </w:pPr>
      <w:r>
        <w:t xml:space="preserve"/>
      </w:r>
    </w:p>
    <w:p>
      <w:pPr>
        <w:spacing w:after="120" w:before="240"/>
      </w:pPr>
      <w:r>
        <w:rPr>
          <w:b/>
          <w:bCs/>
          <w:color w:val="1A2B3C"/>
          <w:sz w:val="28"/>
          <w:szCs w:val="28"/>
        </w:rPr>
        <w:t xml:space="preserve">📣  Engagement architecture — five channels scored against brand profile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How this section works</w:t>
            </w:r>
          </w:p>
          <w:p>
            <w:pPr>
              <w:spacing w:after="100"/>
            </w:pPr>
            <w:r>
              <w:rPr>
                <w:color w:val="3A4A5C"/>
                <w:sz w:val="19"/>
                <w:szCs w:val="19"/>
              </w:rPr>
              <w:t xml:space="preserve">Five engagement channels assessed against Blue Kangaroo Packoutz's profile signals. Each gets a fit rating (HIGH/MEDIUM/LOW) and specific tactics. The right engagement plan combines 2-3 channels weighted by what the brand profile rewards — not a generic mix.</w:t>
            </w:r>
          </w:p>
        </w:tc>
      </w:tr>
    </w:tbl>
    <w:p>
      <w:pPr>
        <w:spacing w:after="80" w:before="80"/>
      </w:pPr>
      <w:r>
        <w:t xml:space="preserve"/>
      </w:r>
    </w:p>
    <w:p>
      <w:pPr>
        <w:spacing w:after="80" w:before="160"/>
      </w:pPr>
      <w:r>
        <w:rPr>
          <w:b/>
          <w:bCs/>
          <w:color w:val="1A2B3C"/>
          <w:sz w:val="22"/>
          <w:szCs w:val="22"/>
        </w:rPr>
        <w:t xml:space="preserve">1. Warm path activation</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Doug Smith (SVP Franchise Development, BFG) — sees franchisee adoption data daily across BFG portfolio · Beth Toenies (VP FD) — second-stage warm path · GPSI customer overlap query (any Blue Kangaroo Packoutz franchisees in GPSI database) · BELFOR Holdings operating partner conversations via American Securities (gated on parent franchisor track) · Sister-brand context: HOODZ + DUCTZ at 94% SB adoption is the credibility opener for any Blue Kangaroo Packoutz brand-corp conversation.</w:t>
            </w:r>
          </w:p>
        </w:tc>
      </w:tr>
    </w:tbl>
    <w:p>
      <w:pPr>
        <w:spacing w:after="60" w:before="60"/>
      </w:pPr>
      <w:r>
        <w:t xml:space="preserve"/>
      </w:r>
    </w:p>
    <w:p>
      <w:pPr>
        <w:spacing w:after="80" w:before="160"/>
      </w:pPr>
      <w:r>
        <w:rPr>
          <w:b/>
          <w:bCs/>
          <w:color w:val="1A2B3C"/>
          <w:sz w:val="22"/>
          <w:szCs w:val="22"/>
        </w:rPr>
        <w:t xml:space="preserve">2. Direct outreach (LinkedIn, email, calls)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Brand-corp leadership likely small (BFG brand structure typical). LinkedIn presence likely modest. Direct outreach viable AFTER warm path has surfaced names — not as opening move. Contents restoration-specific value framing required: speak the franchisee unit economics language. Cold outreach to franchisees is out of scope (they're the existing implicit customer base).</w:t>
            </w:r>
          </w:p>
        </w:tc>
      </w:tr>
    </w:tbl>
    <w:p>
      <w:pPr>
        <w:spacing w:after="60" w:before="60"/>
      </w:pPr>
      <w:r>
        <w:t xml:space="preserve"/>
      </w:r>
    </w:p>
    <w:p>
      <w:pPr>
        <w:spacing w:after="80" w:before="160"/>
      </w:pPr>
      <w:r>
        <w:rPr>
          <w:b/>
          <w:bCs/>
          <w:color w:val="1A2B3C"/>
          <w:sz w:val="22"/>
          <w:szCs w:val="22"/>
        </w:rPr>
        <w:t xml:space="preserve">3. Earned media (trade press, podcasts)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Restoration vertical: Cleaning &amp; Restoration Magazine, Restoration &amp; Remediation. Contents-specific: pack-out industry publications, IICRC content. Insurance carrier publications. Joint case study with HOODZ franchisee leadership (within license/permission boundaries) becomes high-leverage proof material — turn HOODZ's 94% adoption into industry narrative that Blue Kangaroo Packoutz brand-corp reads. Restoration Industry Association (RIA) and Cleaning &amp; Restoration Association (CRA) publications and events.</w:t>
            </w:r>
          </w:p>
        </w:tc>
      </w:tr>
    </w:tbl>
    <w:p>
      <w:pPr>
        <w:spacing w:after="60" w:before="60"/>
      </w:pPr>
      <w:r>
        <w:t xml:space="preserve"/>
      </w:r>
    </w:p>
    <w:p>
      <w:pPr>
        <w:spacing w:after="80" w:before="160"/>
      </w:pPr>
      <w:r>
        <w:rPr>
          <w:b/>
          <w:bCs/>
          <w:color w:val="1A2B3C"/>
          <w:sz w:val="22"/>
          <w:szCs w:val="22"/>
        </w:rPr>
        <w:t xml:space="preserve">4. Physical touches (mail, gifts, events)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BFG hosts internal franchisee conferences — coordinate brand-level reinforcement at parent events. RIA Convention &amp; Industry Expo, IICRC certification events. Specialty contents-restoration training events. Challenge coin / hand-mailed proof reports work well in field-services brand cultures. America 250 letter campaign already targets BFG portfolio — coordinate brand-level reinforcement to brand-corp leadership.</w:t>
            </w:r>
          </w:p>
        </w:tc>
      </w:tr>
    </w:tbl>
    <w:p>
      <w:pPr>
        <w:spacing w:after="60" w:before="60"/>
      </w:pPr>
      <w:r>
        <w:t xml:space="preserve"/>
      </w:r>
    </w:p>
    <w:p>
      <w:pPr>
        <w:spacing w:after="80" w:before="160"/>
      </w:pPr>
      <w:r>
        <w:rPr>
          <w:b/>
          <w:bCs/>
          <w:color w:val="1A2B3C"/>
          <w:sz w:val="22"/>
          <w:szCs w:val="22"/>
        </w:rPr>
        <w:t xml:space="preserve">5. Inbound signal building (engaging their content, amplifying their voice)</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LOW-MEDIUM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Blue Kangaroo Packoutz brand-corp social presence likely modest — limits direct engagement value. However, BELFOR FG executive content (Doug Smith, Rusty Amarante, Brand Presidents) is the right engagement target — amplifying parent-franchisor franchise-development thought leadership warms the brand-corp path. If Blue Kangaroo Packoutz brand president has active LinkedIn presence, this becomes higher-fit. Validate during initial intel work.</w:t>
            </w:r>
          </w:p>
        </w:tc>
      </w:tr>
    </w:tbl>
    <w:p>
      <w:pPr>
        <w:spacing w:after="160" w:before="160"/>
      </w:pPr>
      <w:r>
        <w:t xml:space="preserve"/>
      </w:r>
    </w:p>
    <w:p>
      <w:pPr>
        <w:spacing w:after="120" w:before="240"/>
      </w:pPr>
      <w:r>
        <w:rPr>
          <w:b/>
          <w:bCs/>
          <w:color w:val="1A2B3C"/>
          <w:sz w:val="28"/>
          <w:szCs w:val="28"/>
        </w:rPr>
        <w:t xml:space="preserve">💼  What's in this for the brand</w:t>
      </w:r>
    </w:p>
    <w:p>
      <w:pPr>
        <w:spacing w:after="120"/>
      </w:pPr>
      <w:r>
        <w:rPr>
          <w:color w:val="3A4A5C"/>
          <w:sz w:val="19"/>
          <w:szCs w:val="19"/>
        </w:rPr>
        <w:t xml:space="preserve">Operational ROI framing for the brand-corp audience. Brand presidents care about franchisee unit economics, royalty stream uplift, retention, and recruitment. They do not care about parent-franchisor exit math. Keep this section operational, not strategic.</w:t>
      </w:r>
    </w:p>
    <w:p>
      <w:pPr>
        <w:spacing w:after="80" w:before="80"/>
      </w:pPr>
      <w:r>
        <w:t xml:space="preserve"/>
      </w:r>
    </w:p>
    <w:p>
      <w:pPr>
        <w:spacing w:after="80" w:before="160"/>
      </w:pPr>
      <w:r>
        <w:rPr>
          <w:b/>
          <w:bCs/>
          <w:color w:val="1A2B3C"/>
          <w:sz w:val="22"/>
          <w:szCs w:val="22"/>
        </w:rPr>
        <w:t xml:space="preserve">Per-franchisee operational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780"/>
      </w:tblGrid>
      <w:tr>
        <w:trPr>
          <w:tblHeader/>
        </w:trPr>
        <w:tc>
          <w:tcPr>
            <w:tcW w:type="dxa" w:w="35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LEVER</w:t>
            </w:r>
          </w:p>
        </w:tc>
        <w:tc>
          <w:tcPr>
            <w:tcW w:type="dxa" w:w="18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BLUE KANGAROO PACKOUTZ VALUE</w:t>
            </w:r>
          </w:p>
        </w:tc>
        <w:tc>
          <w:tcPr>
            <w:tcW w:type="dxa" w:w="4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MATH</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EBITDA improvement per tech / yr</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$11K</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Insurance documentation completeness · contents tracking efficiency · audit trail value (highest in restoration verticals due to specialty)</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Network EBITDA improvement (Blue Kangaroo Packoutz scale, full adoption)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$5.5M / yr</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~500 techs × $11K (smaller network, higher per-tech value)</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Royalty stream uplift to brand corp (~6%)</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$330K / yr</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Direct uplift to brand-corp economics (~6%)</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Y1 ARR contribution to BELFOR Franchise Group portfolio (10% penetration)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$15K</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50 techs × $300/tech/yr SB pricing — first-year achievable at 10% penetration</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Implementation timeline</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30-day pilot, 90-day full deployment</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Standard SB onboarding · sister-brand playbook applies · contents-tracking workflow customization adds 15 days</w:t>
            </w:r>
          </w:p>
        </w:tc>
      </w:tr>
    </w:tbl>
    <w:p>
      <w:pPr>
        <w:spacing w:after="120" w:before="120"/>
      </w:pPr>
      <w:r>
        <w:t xml:space="preserve"/>
      </w:r>
    </w:p>
    <w:p>
      <w:pPr>
        <w:spacing w:after="80" w:before="160"/>
      </w:pPr>
      <w:r>
        <w:rPr>
          <w:b/>
          <w:bCs/>
          <w:color w:val="1A2B3C"/>
          <w:sz w:val="22"/>
          <w:szCs w:val="22"/>
        </w:rPr>
        <w:t xml:space="preserve">Retention and recruitment narrative</w:t>
      </w:r>
    </w:p>
    <w:p>
      <w:pPr>
        <w:pStyle w:val="ListParagraph"/>
        <w:numPr>
          <w:ilvl w:val="0"/>
          <w:numId w:val="2"/>
        </w:numPr>
        <w:spacing w:after="80"/>
      </w:pPr>
      <w:r>
        <w:rPr>
          <w:color w:val="3A4A5C"/>
          <w:sz w:val="19"/>
          <w:szCs w:val="19"/>
        </w:rPr>
        <w:t xml:space="preserve">Franchisee retention: insurance documentation pain is the #1 operational frustration in contents restoration. SB's documentation chain capability directly addresses this. Retention lever via reduced franchisee operational stress.</w:t>
      </w:r>
    </w:p>
    <w:p>
      <w:pPr>
        <w:pStyle w:val="ListParagraph"/>
        <w:numPr>
          <w:ilvl w:val="0"/>
          <w:numId w:val="2"/>
        </w:numPr>
        <w:spacing w:after="80"/>
      </w:pPr>
      <w:r>
        <w:rPr>
          <w:color w:val="3A4A5C"/>
          <w:sz w:val="19"/>
          <w:szCs w:val="19"/>
        </w:rPr>
        <w:t xml:space="preserve">Franchisee recruitment: prospective contents-restoration franchisees evaluate documentation tooling heavily — claims completeness directly affects franchisee profitability.</w:t>
      </w:r>
    </w:p>
    <w:p>
      <w:pPr>
        <w:pStyle w:val="ListParagraph"/>
        <w:numPr>
          <w:ilvl w:val="0"/>
          <w:numId w:val="2"/>
        </w:numPr>
        <w:spacing w:after="80"/>
      </w:pPr>
      <w:r>
        <w:rPr>
          <w:color w:val="3A4A5C"/>
          <w:sz w:val="19"/>
          <w:szCs w:val="19"/>
        </w:rPr>
        <w:t xml:space="preserve">Reporting visibility: brand corp gains contents-tracking data currently invisible — climate-controlled storage utilization, claim cycle times, documentation completeness rates. Critical for brand-corp QA programs.</w:t>
      </w:r>
    </w:p>
    <w:p>
      <w:pPr>
        <w:spacing w:after="120" w:before="120"/>
      </w:pPr>
      <w:r>
        <w:t xml:space="preserve"/>
      </w:r>
    </w:p>
    <w:p>
      <w:pPr>
        <w:spacing w:after="80" w:before="160"/>
      </w:pPr>
      <w:r>
        <w:rPr>
          <w:b/>
          <w:bCs/>
          <w:color w:val="1A2B3C"/>
          <w:sz w:val="22"/>
          <w:szCs w:val="22"/>
        </w:rPr>
        <w:t xml:space="preserve">Bridge upward — parent franchisor narrative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color w:val="3A4A5C"/>
                <w:sz w:val="19"/>
                <w:szCs w:val="19"/>
              </w:rPr>
              <w:t xml:space="preserve">Brand-corp commitments compound at the parent franchisor level. When all BFG brands adopt brand-mandated FSM, the parent network gains standardized operations data that drives portfolio-level value creation initiatives ahead of any exit window. Blue Kangaroo Packoutz brand-led adoption adds documentation-completeness telemetry to the BFG portfolio EBITDA story for American Securities pre-exit. This bridge is for our internal narrative — it does not need to be foregrounded in brand-corp conversations.</w:t>
            </w:r>
          </w:p>
        </w:tc>
      </w:tr>
    </w:tbl>
    <w:p>
      <w:pPr>
        <w:spacing w:after="120" w:before="120"/>
      </w:pPr>
      <w:r>
        <w:t xml:space="preserve"/>
      </w:r>
    </w:p>
    <w:p>
      <w:pPr>
        <w:spacing w:after="120" w:before="240"/>
      </w:pPr>
      <w:r>
        <w:rPr>
          <w:b/>
          <w:bCs/>
          <w:color w:val="1A2B3C"/>
          <w:sz w:val="28"/>
          <w:szCs w:val="28"/>
        </w:rPr>
        <w:t xml:space="preserve">⚔️  Competitive landscape — brand-level FSM map</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Blue Kangaroo Packoutz FSM posture: GREENFIELD → SPECIALTY-NICHE</w:t>
            </w:r>
          </w:p>
          <w:p>
            <w:pPr>
              <w:spacing w:after="100"/>
            </w:pPr>
            <w:r>
              <w:rPr>
                <w:color w:val="3A4A5C"/>
                <w:sz w:val="19"/>
                <w:szCs w:val="19"/>
              </w:rPr>
              <w:t xml:space="preserve">Blue Kangaroo Packoutz operates in GREENFIELD posture with a specialty-niche character — smaller brand, specialized workflow, no incumbent FSM mandate. Franchisees mixing pen/paper, QuickBooks, contents-tracking specialty tools, with possible early SB adoption.</w:t>
            </w:r>
          </w:p>
          <w:p>
            <w:pPr>
              <w:spacing w:after="100"/>
            </w:pPr>
            <w:r>
              <w:rPr>
                <w:color w:val="3A4A5C"/>
                <w:sz w:val="19"/>
                <w:szCs w:val="19"/>
              </w:rPr>
              <w:t xml:space="preserve">Generalized framework: brand corps split into four FSM postures — (1) MANDATED, (2) PREFERRED, (3) MIXED, (4) GREENFIELD. Blue Kangaroo Packoutz = GREENFIELD with niche-specialty advantage.</w:t>
            </w:r>
          </w:p>
          <w:p>
            <w:pPr>
              <w:spacing w:after="100"/>
            </w:pPr>
            <w:r>
              <w:rPr>
                <w:color w:val="3A4A5C"/>
                <w:sz w:val="19"/>
                <w:szCs w:val="19"/>
              </w:rPr>
              <w:t xml:space="preserve">Competitive risk is non-engagement, not displacement. ServiceTitan has minimal traction in contents-restoration. Specialty competitors (Xactimate add-ons, Encircle for documentation) handle slices of the workflow but lack full FSM. SB's full workflow + documentation chain is differentiated.</w:t>
            </w:r>
          </w:p>
          <w:p>
            <w:pPr>
              <w:spacing w:after="100"/>
            </w:pPr>
            <w:r>
              <w:rPr>
                <w:color w:val="3A4A5C"/>
                <w:sz w:val="19"/>
                <w:szCs w:val="19"/>
              </w:rPr>
              <w:t xml:space="preserve">Adjacent BFG brands provide credibility. Smaller brand size means a successful pilot here can become the case study that opens 1-800 Water Damage and other restoration brand-corp conversations.</w:t>
            </w:r>
          </w:p>
        </w:tc>
      </w:tr>
    </w:tbl>
    <w:p>
      <w:pPr>
        <w:spacing w:after="120" w:before="120"/>
      </w:pPr>
      <w:r>
        <w:t xml:space="preserve"/>
      </w:r>
    </w:p>
    <w:p>
      <w:pPr>
        <w:spacing w:after="120" w:before="240"/>
      </w:pPr>
      <w:r>
        <w:rPr>
          <w:b/>
          <w:bCs/>
          <w:color w:val="1A2B3C"/>
          <w:sz w:val="28"/>
          <w:szCs w:val="28"/>
        </w:rPr>
        <w:t xml:space="preserve">📐  How we scored this</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V2 framework calculation for Blue Kangaroo Packoutz</w:t>
            </w:r>
          </w:p>
          <w:p>
            <w:pPr>
              <w:spacing w:after="100"/>
            </w:pPr>
            <w:r>
              <w:rPr>
                <w:color w:val="3A4A5C"/>
                <w:sz w:val="19"/>
                <w:szCs w:val="19"/>
              </w:rPr>
              <w:t xml:space="preserve">V2 brand-corp scoring uses 7 dimensions weighted for brand-corp velocity: Greenfield (30%), Network (15%), PE (10%), DM Access (15%), Urgency (15%), Displacement (5%), C/B Mix (10%) — plus parent-tier inheritance bonus.</w:t>
            </w:r>
          </w:p>
          <w:p>
            <w:pPr>
              <w:spacing w:after="100"/>
            </w:pPr>
            <w:r>
              <w:rPr>
                <w:color w:val="3A4A5C"/>
                <w:sz w:val="19"/>
                <w:szCs w:val="19"/>
              </w:rPr>
              <w:t xml:space="preserve">Blue Kangaroo Packoutz dimension scores: Greenfield 95/100, Network 50/100, PE 75/100, DM Access 85/100, Urgency 80/100, Displacement 55/100, C/B Mix 70/100.</w:t>
            </w:r>
          </w:p>
          <w:p>
            <w:pPr>
              <w:spacing w:after="100"/>
            </w:pPr>
            <w:r>
              <w:rPr>
                <w:color w:val="3A4A5C"/>
                <w:sz w:val="19"/>
                <w:szCs w:val="19"/>
              </w:rPr>
              <w:t xml:space="preserve">Weighted base score: (95×0.30) + (50×0.15) + (75×0.10) + (85×0.15) + (80×0.15) + (55×0.05) + (70×0.10) = 75 base. Plus parent inheritance bonus +25 (P2 · #1 DE-FACTO ANCHOR) + modifier +6 = 106 total.</w:t>
            </w:r>
          </w:p>
          <w:p>
            <w:pPr>
              <w:spacing w:after="100"/>
            </w:pPr>
            <w:r>
              <w:rPr>
                <w:color w:val="3A4A5C"/>
                <w:sz w:val="19"/>
                <w:szCs w:val="19"/>
              </w:rPr>
              <w:t xml:space="preserve">Score 106 = T1 LEAD PILOT — DEEP ENGAGE per the Track 2 tier framework. Tier brackets: 100+ = T1, 90-99 = T2, 80-89 = T3, 70-79 = T4, 60-69 = T5, 50-59 = T6, 40-49 = T7, &lt;40 or excluded = T8.</w:t>
            </w:r>
          </w:p>
        </w:tc>
      </w:tr>
    </w:tbl>
    <w:p>
      <w:pPr>
        <w:spacing w:after="160" w:before="160"/>
      </w:pPr>
      <w:r>
        <w:t xml:space="preserve"/>
      </w:r>
    </w:p>
    <w:p>
      <w:pPr>
        <w:pBdr>
          <w:bottom w:val="single" w:color="185FA5" w:sz="6" w:space="1"/>
        </w:pBdr>
        <w:spacing w:after="200"/>
      </w:pPr>
      <w:r>
        <w:t xml:space="preserve"/>
      </w:r>
    </w:p>
    <w:p>
      <w:pPr>
        <w:jc w:val="center"/>
      </w:pPr>
      <w:r>
        <w:rPr>
          <w:i/>
          <w:iCs/>
          <w:color w:val="6B7A8B"/>
          <w:sz w:val="17"/>
          <w:szCs w:val="17"/>
        </w:rPr>
        <w:t xml:space="preserve">— End of Blue Kangaroo Packoutz readiness package —</w:t>
      </w:r>
    </w:p>
    <w:p>
      <w:pPr>
        <w:spacing w:after="60" w:before="60"/>
      </w:pPr>
      <w:r>
        <w:t xml:space="preserve"/>
      </w:r>
    </w:p>
    <w:p>
      <w:pPr>
        <w:jc w:val="center"/>
      </w:pPr>
      <w:r>
        <w:rPr>
          <w:i/>
          <w:iCs/>
          <w:color w:val="6B7A8B"/>
          <w:sz w:val="15"/>
          <w:szCs w:val="15"/>
        </w:rPr>
        <w:t xml:space="preserve">Velocity GTM Co LLC  ·  Stage 2 Brand-Corp Readiness  ·  Blue Kangaroo Packoutz  ·  Built from CRM v15.6  ·  April 30, 2026</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B"/>
        <w:sz w:val="16"/>
        <w:szCs w:val="16"/>
      </w:rPr>
      <w:t xml:space="preserve">Velocity GTM Co LLC  ·  April 30, 2026  ·  Page </w:t>
    </w:r>
    <w:r>
      <w:rPr>
        <w:color w:val="6B7A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A8B"/>
        <w:sz w:val="14"/>
        <w:szCs w:val="14"/>
      </w:rPr>
      <w:t xml:space="preserve">STAGE 2 · NORTHSTAR REFERENCE  ·  BLUE KANGAROO PACKOUTZ  ·  CRM v15.6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 Kangaroo Packoutz Stage 2 Brand-Corp Readiness Package — CRM v15.6</dc:title>
  <dc:creator>Michael Montgomery Flynt Jr</dc:creator>
  <cp:lastModifiedBy>Un-named</cp:lastModifiedBy>
  <cp:revision>1</cp:revision>
  <dcterms:created xsi:type="dcterms:W3CDTF">2026-04-30T23:50:06.955Z</dcterms:created>
  <dcterms:modified xsi:type="dcterms:W3CDTF">2026-04-30T23:50:06.955Z</dcterms:modified>
</cp:coreProperties>
</file>

<file path=docProps/custom.xml><?xml version="1.0" encoding="utf-8"?>
<Properties xmlns="http://schemas.openxmlformats.org/officeDocument/2006/custom-properties" xmlns:vt="http://schemas.openxmlformats.org/officeDocument/2006/docPropsVTypes"/>
</file>