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b/>
          <w:bCs/>
          <w:color w:val="1A2B3C"/>
          <w:sz w:val="36"/>
          <w:szCs w:val="36"/>
        </w:rPr>
        <w:t xml:space="preserve">Stage 2 · Brand-Corp Readiness</w:t>
      </w:r>
    </w:p>
    <w:p>
      <w:pPr>
        <w:spacing w:after="80"/>
        <w:jc w:val="center"/>
      </w:pPr>
      <w:r>
        <w:rPr>
          <w:b/>
          <w:bCs/>
          <w:color w:val="185FA5"/>
          <w:sz w:val="22"/>
          <w:szCs w:val="22"/>
        </w:rPr>
        <w:t xml:space="preserve">DUCTZ</w:t>
      </w:r>
    </w:p>
    <w:p>
      <w:pPr>
        <w:spacing w:after="120"/>
        <w:jc w:val="center"/>
      </w:pPr>
      <w:r>
        <w:rPr>
          <w:i/>
          <w:iCs/>
          <w:color w:val="6B7A8B"/>
          <w:sz w:val="17"/>
          <w:szCs w:val="17"/>
        </w:rPr>
        <w:t xml:space="preserve">Parent: BELFOR Franchise Group  ·  Vertical: HVAC duct cleaning &amp; indoor air quality</w:t>
      </w:r>
    </w:p>
    <w:p>
      <w:pPr>
        <w:spacing w:after="120"/>
        <w:jc w:val="center"/>
      </w:pPr>
      <w:r>
        <w:rPr>
          <w:i/>
          <w:iCs/>
          <w:color w:val="6B7A8B"/>
          <w:sz w:val="17"/>
          <w:szCs w:val="17"/>
        </w:rPr>
        <w:t xml:space="preserve">V2 Score: 103  ·  Tier: T1 LEAD PILOT — DEEP ENGAGE  ·  P2 · #1 · DE-FACTO ANCHOR</w:t>
      </w:r>
    </w:p>
    <w:p>
      <w:pPr>
        <w:spacing w:after="60" w:before="60"/>
      </w:pPr>
      <w:r>
        <w:t xml:space="preserve"/>
      </w:r>
    </w:p>
    <w:tbl>
      <w:tblPr>
        <w:tblW w:type="dxa" w:w="10080"/>
        <w:tblBorders>
          <w:top w:val="single" w:color="0B3D6B" w:sz="0"/>
          <w:left w:val="single" w:color="0B3D6B" w:sz="0"/>
          <w:bottom w:val="single" w:color="0B3D6B" w:sz="0"/>
          <w:right w:val="single" w:color="0B3D6B" w:sz="0"/>
          <w:insideH w:val="single" w:color="auto" w:sz="4"/>
          <w:insideV w:val="single" w:color="auto" w:sz="4"/>
        </w:tblBorders>
      </w:tblPr>
      <w:tblGrid>
        <w:gridCol w:w="10080"/>
      </w:tblGrid>
      <w:tr>
        <w:tc>
          <w:tcPr>
            <w:tcW w:type="dxa" w:w="10080"/>
            <w:tcBorders>
              <w:top w:val="single" w:color="0B3D6B" w:sz="4"/>
              <w:left w:val="single" w:color="0B3D6B" w:sz="4"/>
              <w:bottom w:val="single" w:color="0B3D6B" w:sz="4"/>
              <w:right w:val="single" w:color="0B3D6B" w:sz="4"/>
            </w:tcBorders>
            <w:shd w:fill="0B3D6B" w:val="clear"/>
            <w:tcMar>
              <w:top w:type="dxa" w:w="180"/>
              <w:left w:type="dxa" w:w="280"/>
              <w:bottom w:type="dxa" w:w="180"/>
              <w:right w:type="dxa" w:w="280"/>
            </w:tcMar>
            <w:vAlign w:val="center"/>
          </w:tcPr>
          <w:p>
            <w:pPr>
              <w:jc w:val="center"/>
            </w:pPr>
            <w:r>
              <w:rPr>
                <w:b/>
                <w:bCs/>
                <w:color w:val="FFFFFF"/>
                <w:spacing w:val="80"/>
                <w:sz w:val="24"/>
                <w:szCs w:val="24"/>
              </w:rPr>
              <w:t xml:space="preserve">⭐  NORTHSTAR REFERENCE  ·  P2 PATTERN LIBRARY</w:t>
            </w:r>
          </w:p>
          <w:p>
            <w:pPr>
              <w:spacing w:before="80"/>
              <w:jc w:val="center"/>
            </w:pPr>
            <w:r>
              <w:rPr>
                <w:i/>
                <w:iCs/>
                <w:color w:val="FFFFFF"/>
                <w:sz w:val="16"/>
                <w:szCs w:val="16"/>
              </w:rPr>
              <w:t xml:space="preserve">Use as reference pattern for greenfield engagement at Track 1 P1 brands  ·  Not currently an active engagement target</w:t>
            </w:r>
          </w:p>
        </w:tc>
      </w:tr>
    </w:tbl>
    <w:p>
      <w:pPr>
        <w:spacing w:after="60" w:before="60"/>
      </w:pPr>
      <w:r>
        <w:t xml:space="preserve"/>
      </w:r>
    </w:p>
    <w:tbl>
      <w:tblPr>
        <w:tblW w:type="dxa" w:w="10080"/>
        <w:tblBorders>
          <w:top w:val="single" w:color="8B0000" w:sz="0"/>
          <w:left w:val="single" w:color="8B0000" w:sz="0"/>
          <w:bottom w:val="single" w:color="8B0000" w:sz="0"/>
          <w:right w:val="single" w:color="8B0000" w:sz="0"/>
          <w:insideH w:val="single" w:color="auto" w:sz="4"/>
          <w:insideV w:val="single" w:color="auto" w:sz="4"/>
        </w:tblBorders>
      </w:tblPr>
      <w:tblGrid>
        <w:gridCol w:w="10080"/>
      </w:tblGrid>
      <w:tr>
        <w:tc>
          <w:tcPr>
            <w:tcW w:type="dxa" w:w="10080"/>
            <w:tcBorders>
              <w:top w:val="single" w:color="8B0000" w:sz="4"/>
              <w:left w:val="single" w:color="8B0000" w:sz="4"/>
              <w:bottom w:val="single" w:color="8B0000" w:sz="4"/>
              <w:right w:val="single" w:color="8B0000" w:sz="4"/>
            </w:tcBorders>
            <w:shd w:fill="8B0000" w:val="clear"/>
            <w:tcMar>
              <w:top w:type="dxa" w:w="180"/>
              <w:left w:type="dxa" w:w="280"/>
              <w:bottom w:type="dxa" w:w="180"/>
              <w:right w:type="dxa" w:w="280"/>
            </w:tcMar>
            <w:vAlign w:val="center"/>
          </w:tcPr>
          <w:p>
            <w:pPr>
              <w:jc w:val="center"/>
            </w:pPr>
            <w:r>
              <w:rPr>
                <w:b/>
                <w:bCs/>
                <w:color w:val="FFFFFF"/>
                <w:spacing w:val="80"/>
                <w:sz w:val="26"/>
                <w:szCs w:val="26"/>
              </w:rPr>
              <w:t xml:space="preserve">🔴  T1 LEAD PILOT — DEEP ENGAGE</w:t>
            </w:r>
          </w:p>
        </w:tc>
      </w:tr>
    </w:tbl>
    <w:p>
      <w:pPr>
        <w:spacing w:after="120" w:before="120"/>
      </w:pPr>
      <w:r>
        <w:t xml:space="preserve"/>
      </w:r>
    </w:p>
    <w:p>
      <w:pPr>
        <w:spacing w:after="120" w:before="240"/>
      </w:pPr>
      <w:r>
        <w:rPr>
          <w:b/>
          <w:bCs/>
          <w:color w:val="1A2B3C"/>
          <w:sz w:val="28"/>
          <w:szCs w:val="28"/>
        </w:rPr>
        <w:t xml:space="preserve">My read on DUCTZ</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Why DUCTZ scores #4 of 78 — the conversion play (94% SB de facto, no formal mandate)</w:t>
            </w:r>
          </w:p>
          <w:p>
            <w:pPr>
              <w:spacing w:after="100"/>
            </w:pPr>
            <w:r>
              <w:rPr>
                <w:color w:val="3A4A5C"/>
                <w:sz w:val="19"/>
                <w:szCs w:val="19"/>
              </w:rPr>
              <w:t xml:space="preserve">DUCTZ scored 103 — fourth-highest in Track 2 — but its strategic situation is fundamentally different from every other top-scoring brand. DUCTZ already runs ServiceBridge at 94% organic franchisee adoption. There is no incumbent FSM to displace, no greenfield to pioneer — the franchisee network has already chosen ServiceBridge bottom-up over years of organic adoption. The brand corp simply hasn't formalized that choice into a mandate or preferred-vendor status.</w:t>
            </w:r>
          </w:p>
          <w:p>
            <w:pPr>
              <w:spacing w:after="100"/>
            </w:pPr>
            <w:r>
              <w:rPr>
                <w:color w:val="3A4A5C"/>
                <w:sz w:val="19"/>
                <w:szCs w:val="19"/>
              </w:rPr>
              <w:t xml:space="preserve">What this means strategically: DUCTZ is a CONVERSION play, not a greenfield play. The work is to walk into the brand corp with hard adoption data ('94% of your franchisees already run on ServiceBridge — here's the network operations report') and convert that organic reality into a formal brand-corp partnership. That conversion unlocks: (1) brand-corp visibility into franchisee operations data (currently they don't see it), (2) standardized onboarding for new franchisees (currently each franchisee finds SB independently), (3) preferred-vendor pricing leverage at the brand-corp level, (4) BFG portfolio narrative consistency (all sister brands at the same formalized status).</w:t>
            </w:r>
          </w:p>
          <w:p>
            <w:pPr>
              <w:spacing w:after="100"/>
            </w:pPr>
            <w:r>
              <w:rPr>
                <w:color w:val="3A4A5C"/>
                <w:sz w:val="19"/>
                <w:szCs w:val="19"/>
              </w:rPr>
              <w:t xml:space="preserve">How HOODZ and DUCTZ compare: HOODZ also at 94% organic adoption — same pattern, same brand-corp opportunity. The difference is timing and franchisee mix. The combined HOODZ + DUCTZ adoption story IS the BELFOR portfolio narrative we use everywhere else. Formalizing both unlocks the parent-portfolio story for American Securities pre-exit.</w:t>
            </w:r>
          </w:p>
        </w:tc>
      </w:tr>
    </w:tbl>
    <w:p>
      <w:pPr>
        <w:spacing w:after="120" w:before="120"/>
      </w:pPr>
      <w:r>
        <w:t xml:space="preserve"/>
      </w:r>
    </w:p>
    <w:p>
      <w:pPr>
        <w:spacing w:after="120" w:before="240"/>
      </w:pPr>
      <w:r>
        <w:rPr>
          <w:b/>
          <w:bCs/>
          <w:color w:val="1A2B3C"/>
          <w:sz w:val="28"/>
          <w:szCs w:val="28"/>
        </w:rPr>
        <w:t xml:space="preserve">Where this teaches us to land it</w:t>
      </w:r>
    </w:p>
    <w:p>
      <w:pPr>
        <w:pStyle w:val="ListParagraph"/>
        <w:numPr>
          <w:ilvl w:val="0"/>
          <w:numId w:val="2"/>
        </w:numPr>
        <w:spacing w:after="80"/>
      </w:pPr>
      <w:r>
        <w:rPr>
          <w:color w:val="3A4A5C"/>
          <w:sz w:val="19"/>
          <w:szCs w:val="19"/>
        </w:rPr>
        <w:t xml:space="preserve">DUCTZ is conversion, not greenfield. Lead every conversation with adoption data, not platform capability decks.</w:t>
      </w:r>
    </w:p>
    <w:p>
      <w:pPr>
        <w:pStyle w:val="ListParagraph"/>
        <w:numPr>
          <w:ilvl w:val="0"/>
          <w:numId w:val="2"/>
        </w:numPr>
        <w:spacing w:after="80"/>
      </w:pPr>
      <w:r>
        <w:rPr>
          <w:color w:val="3A4A5C"/>
          <w:sz w:val="19"/>
          <w:szCs w:val="19"/>
        </w:rPr>
        <w:t xml:space="preserve">94% adoption with no mandate signals brand-corp engagement gap. Leadership doesn't have visibility into how dependent the network has become on the platform. That visibility gap IS the opportunity.</w:t>
      </w:r>
    </w:p>
    <w:p>
      <w:pPr>
        <w:pStyle w:val="ListParagraph"/>
        <w:numPr>
          <w:ilvl w:val="0"/>
          <w:numId w:val="2"/>
        </w:numPr>
        <w:spacing w:after="80"/>
      </w:pPr>
      <w:r>
        <w:rPr>
          <w:color w:val="3A4A5C"/>
          <w:sz w:val="19"/>
          <w:szCs w:val="19"/>
        </w:rPr>
        <w:t xml:space="preserve">HVAC duct cleaning vertical fits SB strongly: scheduled service, recurring billing, multi-truck dispatch, owner-operator buyers — same profile as HOODZ.</w:t>
      </w:r>
    </w:p>
    <w:p>
      <w:pPr>
        <w:pStyle w:val="ListParagraph"/>
        <w:numPr>
          <w:ilvl w:val="0"/>
          <w:numId w:val="2"/>
        </w:numPr>
        <w:spacing w:after="80"/>
      </w:pPr>
      <w:r>
        <w:rPr>
          <w:color w:val="3A4A5C"/>
          <w:sz w:val="19"/>
          <w:szCs w:val="19"/>
        </w:rPr>
        <w:t xml:space="preserve">Conversion economics differ from greenfield. The Y1 ARR isn't about new franchisee acquisition — it's about brand-corp partnership pricing for the existing network.</w:t>
      </w:r>
    </w:p>
    <w:p>
      <w:pPr>
        <w:pStyle w:val="ListParagraph"/>
        <w:numPr>
          <w:ilvl w:val="0"/>
          <w:numId w:val="2"/>
        </w:numPr>
        <w:spacing w:after="80"/>
      </w:pPr>
      <w:r>
        <w:rPr>
          <w:color w:val="3A4A5C"/>
          <w:sz w:val="19"/>
          <w:szCs w:val="19"/>
        </w:rPr>
        <w:t xml:space="preserve">Sister-brand HOODZ provides the playbook. We've seen this pattern before. The question is how brand corp wants to formalize it (preferred vendor, mandate, MSA, or other).</w:t>
      </w:r>
    </w:p>
    <w:p>
      <w:pPr>
        <w:spacing w:after="120" w:before="120"/>
      </w:pPr>
      <w:r>
        <w:t xml:space="preserve"/>
      </w:r>
    </w:p>
    <w:p>
      <w:pPr>
        <w:spacing w:after="120" w:before="240"/>
      </w:pPr>
      <w:r>
        <w:rPr>
          <w:b/>
          <w:bCs/>
          <w:color w:val="1A2B3C"/>
          <w:sz w:val="28"/>
          <w:szCs w:val="28"/>
        </w:rPr>
        <w:t xml:space="preserve">📊  What we know — with sources</w:t>
      </w:r>
    </w:p>
    <w:p>
      <w:pPr>
        <w:spacing w:after="120"/>
      </w:pPr>
      <w:r>
        <w:rPr>
          <w:color w:val="3A4A5C"/>
          <w:sz w:val="19"/>
          <w:szCs w:val="19"/>
        </w:rPr>
        <w:t xml:space="preserve">Verified data points and intel gaps. This is the section to populate first as we close gaps with Andrea's team and GPSI database queries.</w:t>
      </w:r>
    </w:p>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2900"/>
        <w:gridCol w:w="1500"/>
        <w:gridCol w:w="1900"/>
        <w:gridCol w:w="780"/>
      </w:tblGrid>
      <w:tr>
        <w:trPr>
          <w:tblHeader/>
        </w:trPr>
        <w:tc>
          <w:tcPr>
            <w:tcW w:type="dxa" w:w="30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DATA POINT</w:t>
            </w:r>
          </w:p>
        </w:tc>
        <w:tc>
          <w:tcPr>
            <w:tcW w:type="dxa" w:w="2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VALUE</w:t>
            </w:r>
          </w:p>
        </w:tc>
        <w:tc>
          <w:tcPr>
            <w:tcW w:type="dxa" w:w="15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CONFIDENCE</w:t>
            </w:r>
          </w:p>
        </w:tc>
        <w:tc>
          <w:tcPr>
            <w:tcW w:type="dxa" w:w="190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SOURCE</w:t>
            </w:r>
          </w:p>
        </w:tc>
        <w:tc>
          <w:tcPr>
            <w:tcW w:type="dxa" w:w="780"/>
            <w:tcBorders>
              <w:top w:val="single" w:color="1A2B3C" w:sz="4"/>
              <w:left w:val="single" w:color="1A2B3C" w:sz="4"/>
              <w:bottom w:val="single" w:color="1A2B3C" w:sz="4"/>
              <w:right w:val="single" w:color="1A2B3C" w:sz="4"/>
            </w:tcBorders>
            <w:shd w:fill="1A2B3C" w:val="clear"/>
            <w:tcMar>
              <w:top w:type="dxa" w:w="70"/>
              <w:left w:type="dxa" w:w="100"/>
              <w:bottom w:type="dxa" w:w="70"/>
              <w:right w:type="dxa" w:w="100"/>
            </w:tcMar>
            <w:vAlign w:val="center"/>
          </w:tcPr>
          <w:p>
            <w:r>
              <w:rPr>
                <w:b/>
                <w:bCs/>
                <w:color w:val="FFFFFF"/>
                <w:spacing w:val="30"/>
                <w:sz w:val="13"/>
                <w:szCs w:val="13"/>
              </w:rPr>
              <w:t xml:space="preserve">VERIFIED</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franchisor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BELFOR Franchise Group</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BFG portfolio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Parent PE owner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American Securities</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American Securities portfolio</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Parent tier</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P2 · DE-FACTO ANCHOR</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V2 ranking model</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Vertical</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HVAC duct cleaning &amp; indoor air quality</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ductz.com</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network — locations</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100 (estimated)</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tech count</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400 (~4 techs/loc)</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ESTIMATED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CRM v15.6 working figure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ServiceBridge penetration</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94% — DE FACTO ANCHOR</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GPSI/SB internal data</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Franchisor mandate status</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NO formal mandate — franchisee-driven adoption (same pattern as HOODZ)</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BFG corporate position</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Brand president</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TBD — research gap</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Brand ops/tech leader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TBD — research gap</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LinkedIn / brand site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Accounting stack at franchisee</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QB-mixed (validated by SB integration data)</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GPSI customer success data</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Telematics overlap (GPSI)</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TBD — GPSI database query (likely high given SB penetration)</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INTEL GAP</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GPSI customer database</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Pending</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GPO / buying group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BELFOR FG-level (no separate brand GPO)</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STRATEGIC</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BFG portfolio structure</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28</w:t>
            </w:r>
          </w:p>
        </w:tc>
      </w:tr>
      <w:tr>
        <w:trPr>
          <w:cantSplit/>
        </w:trPr>
        <w:tc>
          <w:tcPr>
            <w:tcW w:type="dxa" w:w="30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1A2B3C"/>
                <w:sz w:val="16"/>
                <w:szCs w:val="16"/>
              </w:rPr>
              <w:t xml:space="preserve">Customer mix (B2B vs consumer)</w:t>
            </w:r>
          </w:p>
        </w:tc>
        <w:tc>
          <w:tcPr>
            <w:tcW w:type="dxa" w:w="2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bCs/>
                <w:color w:val="3A4A5C"/>
                <w:sz w:val="16"/>
                <w:szCs w:val="16"/>
              </w:rPr>
              <w:t xml:space="preserve">Heavy commercial + light residential</w:t>
            </w:r>
          </w:p>
        </w:tc>
        <w:tc>
          <w:tcPr>
            <w:tcW w:type="dxa" w:w="15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DUCTZ service offerings</w:t>
            </w:r>
          </w:p>
        </w:tc>
        <w:tc>
          <w:tcPr>
            <w:tcW w:type="dxa" w:w="780"/>
            <w:tcBorders>
              <w:top w:val="single" w:color="D0D5DD" w:sz="4"/>
              <w:left w:val="single" w:color="D0D5DD" w:sz="4"/>
              <w:bottom w:val="single" w:color="D0D5DD" w:sz="4"/>
              <w:right w:val="single" w:color="D0D5DD" w:sz="4"/>
            </w:tcBorders>
            <w:shd w:fill="F5F6F8" w:val="clear"/>
            <w:tcMar>
              <w:top w:type="dxa" w:w="80"/>
              <w:left w:type="dxa" w:w="120"/>
              <w:bottom w:type="dxa" w:w="80"/>
              <w:right w:type="dxa" w:w="120"/>
            </w:tcMar>
            <w:vAlign w:val="center"/>
          </w:tcPr>
          <w:p>
            <w:r>
              <w:rPr>
                <w:b w:val="false"/>
                <w:bCs w:val="false"/>
                <w:color w:val="3A4A5C"/>
                <w:sz w:val="14"/>
                <w:szCs w:val="14"/>
              </w:rPr>
              <w:t xml:space="preserve">Apr 30</w:t>
            </w:r>
          </w:p>
        </w:tc>
      </w:tr>
      <w:tr>
        <w:trPr>
          <w:cantSplit/>
        </w:trPr>
        <w:tc>
          <w:tcPr>
            <w:tcW w:type="dxa" w:w="30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1A2B3C"/>
                <w:sz w:val="16"/>
                <w:szCs w:val="16"/>
              </w:rPr>
              <w:t xml:space="preserve">Public visibility (brand corp)</w:t>
            </w:r>
          </w:p>
        </w:tc>
        <w:tc>
          <w:tcPr>
            <w:tcW w:type="dxa" w:w="2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bCs/>
                <w:color w:val="3A4A5C"/>
                <w:sz w:val="16"/>
                <w:szCs w:val="16"/>
              </w:rPr>
              <w:t xml:space="preserve">Low — modest social presence at brand-corp level</w:t>
            </w:r>
          </w:p>
        </w:tc>
        <w:tc>
          <w:tcPr>
            <w:tcW w:type="dxa" w:w="15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 VERIFIED</w:t>
            </w:r>
          </w:p>
        </w:tc>
        <w:tc>
          <w:tcPr>
            <w:tcW w:type="dxa" w:w="190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LinkedIn / web search</w:t>
            </w:r>
          </w:p>
        </w:tc>
        <w:tc>
          <w:tcPr>
            <w:tcW w:type="dxa" w:w="780"/>
            <w:tcBorders>
              <w:top w:val="single" w:color="D0D5DD" w:sz="4"/>
              <w:left w:val="single" w:color="D0D5DD" w:sz="4"/>
              <w:bottom w:val="single" w:color="D0D5DD" w:sz="4"/>
              <w:right w:val="single" w:color="D0D5DD" w:sz="4"/>
            </w:tcBorders>
            <w:shd w:fill="FFFFFF" w:val="clear"/>
            <w:tcMar>
              <w:top w:type="dxa" w:w="80"/>
              <w:left w:type="dxa" w:w="120"/>
              <w:bottom w:type="dxa" w:w="80"/>
              <w:right w:type="dxa" w:w="120"/>
            </w:tcMar>
            <w:vAlign w:val="center"/>
          </w:tcPr>
          <w:p>
            <w:r>
              <w:rPr>
                <w:b w:val="false"/>
                <w:bCs w:val="false"/>
                <w:color w:val="3A4A5C"/>
                <w:sz w:val="14"/>
                <w:szCs w:val="14"/>
              </w:rPr>
              <w:t xml:space="preserve">Apr 30</w:t>
            </w:r>
          </w:p>
        </w:tc>
      </w:tr>
    </w:tbl>
    <w:p>
      <w:pPr>
        <w:spacing w:after="160" w:before="160"/>
      </w:pPr>
      <w:r>
        <w:t xml:space="preserve"/>
      </w:r>
    </w:p>
    <w:p>
      <w:pPr>
        <w:spacing w:after="120" w:before="240"/>
      </w:pPr>
      <w:r>
        <w:rPr>
          <w:b/>
          <w:bCs/>
          <w:color w:val="1A2B3C"/>
          <w:sz w:val="28"/>
          <w:szCs w:val="28"/>
        </w:rPr>
        <w:t xml:space="preserve">🎯  Brand profile signals — the dimensions that drive engagement strategy</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Why this section matters</w:t>
            </w:r>
          </w:p>
          <w:p>
            <w:pPr>
              <w:spacing w:after="100"/>
            </w:pPr>
            <w:r>
              <w:rPr>
                <w:color w:val="3A4A5C"/>
                <w:sz w:val="19"/>
                <w:szCs w:val="19"/>
              </w:rPr>
              <w:t xml:space="preserve">Eleven signals diagnose any brand corp. Together they determine which engagement channels work, what the operational ROI story sounds like, and where the brand sits in priority. Score each signal high/medium/low and let the pattern guide channel selection.</w:t>
            </w:r>
          </w:p>
          <w:p>
            <w:pPr>
              <w:spacing w:after="100"/>
            </w:pPr>
            <w:r>
              <w:rPr>
                <w:color w:val="3A4A5C"/>
                <w:sz w:val="19"/>
                <w:szCs w:val="19"/>
              </w:rPr>
              <w:t xml:space="preserve">Two signals carry extra weight in V2 priority ranking: GREENFIELD + PAPER-BASED OPS (combined 25% weight) and ACCOUNTING STACK INDICATORS (QuickBooks-only is the strongest greenfield+paper proxy). Together these flag highest-velocity opportunities.</w:t>
            </w:r>
          </w:p>
        </w:tc>
      </w:tr>
    </w:tbl>
    <w:p>
      <w:pPr>
        <w:spacing w:after="80" w:before="80"/>
      </w:pPr>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00"/>
        <w:gridCol w:w="4000"/>
        <w:gridCol w:w="2780"/>
      </w:tblGrid>
      <w:tr>
        <w:trPr>
          <w:tblHeader/>
        </w:trPr>
        <w:tc>
          <w:tcPr>
            <w:tcW w:type="dxa" w:w="33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SIGNAL</w:t>
            </w:r>
          </w:p>
        </w:tc>
        <w:tc>
          <w:tcPr>
            <w:tcW w:type="dxa" w:w="40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DUCTZ VALUE</w:t>
            </w:r>
          </w:p>
        </w:tc>
        <w:tc>
          <w:tcPr>
            <w:tcW w:type="dxa" w:w="2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ENGAGEMENT IMPLICATION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Greenfield + paper-based ops</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DOES NOT APPLY — 94% SB already (conversion play, not greenfield)</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Conversion play. Lead with adoption data, not platform capability.</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Accounting stack (QB / Intuit FSM / higher-tier)</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QB-mixed (validated)</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Existing SB integration is the proof point. ROI math built on demonstrated history, not projection.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Customer mix (B2B vs consumer)</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Heavy commercial + light residential</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Commercial duct cleaning has recurring B2B contracts. Account-based ROI math (LTV per commercial customer) carries the brand-corp conversation.</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BELFOR FG-level (no separate brand GPO)</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BFG-level vendor vetting. Brand-corp endorsement can fast-track adoption via parent channel.</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Vertical fit</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HVAC duct cleaning — strong ServiceBridge fit (already proven by 94% adoption)</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Pattern proven. Demonstrated network adoption IS the vertical-fit evidence.</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Brand network size + tech count</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Mid-size — ~100 locs / ~400 techs (CRM estimate)</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Mid-size. Conversion economics ≠ greenfield economics — value is in brand-corp partnership formalization, not new franchisee acquisition.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Geographic concentration</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National footprint</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t xml:space="preserve">National brand-corp consolidation opportunity for SB partnership pricing.</w:t>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TBD — research gap</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Restoration brands often have multi-unit operators. High density = enterprise-style buying conversation.</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TBD — GPSI database query (priority intel gap)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Highest weight on warm-path scoring. Even partial overlap unlocks introductions.</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Existing FSM landscape</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ServiceBridge dominant (94%)</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t xml:space="preserve">Conversion play. Competitive risk is brand-corp formalizing with someone else through inattention.</w:t>
            </w:r>
          </w:p>
        </w:tc>
      </w:tr>
      <w:tr>
        <w:trPr>
          <w:cantSplit/>
        </w:trPr>
        <w:tc>
          <w:tcPr>
            <w:tcW w:type="dxa" w:w="33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bCs/>
                <w:color w:val="1A2B3C"/>
                <w:sz w:val="15"/>
                <w:szCs w:val="15"/>
              </w:rPr>
              <w:t xml:space="preserve">TBD — research gap</w:t>
            </w:r>
          </w:p>
        </w:tc>
        <w:tc>
          <w:tcPr>
            <w:tcW w:type="dxa" w:w="40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5"/>
                <w:szCs w:val="15"/>
              </w:rPr>
              <w:t xml:space="preserve">If brand president stable: relationship play. If recent change: open-roadmap play.</w:t>
            </w:r>
          </w:p>
        </w:tc>
        <w:tc>
          <w:tcPr>
            <w:tcW w:type="dxa" w:w="2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top"/>
          </w:tcPr>
          <w:p>
            <w:r>
              <w:rPr>
                <w:b w:val="false"/>
                <w:bCs w:val="false"/>
                <w:color w:val="3A4A5C"/>
                <w:sz w:val="14"/>
                <w:szCs w:val="14"/>
              </w:rPr>
            </w:r>
          </w:p>
        </w:tc>
      </w:tr>
      <w:tr>
        <w:trPr>
          <w:cantSplit/>
        </w:trPr>
        <w:tc>
          <w:tcPr>
            <w:tcW w:type="dxa" w:w="33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bCs/>
                <w:color w:val="1A2B3C"/>
                <w:sz w:val="15"/>
                <w:szCs w:val="15"/>
              </w:rPr>
              <w:t xml:space="preserve">Low-moderate brand-corp visibility</w:t>
            </w:r>
          </w:p>
        </w:tc>
        <w:tc>
          <w:tcPr>
            <w:tcW w:type="dxa" w:w="40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5"/>
                <w:szCs w:val="15"/>
              </w:rPr>
              <w:t xml:space="preserve">Warm-path / parent-franchisor route dominates. Direct outreach viable but not primary.</w:t>
            </w:r>
          </w:p>
        </w:tc>
        <w:tc>
          <w:tcPr>
            <w:tcW w:type="dxa" w:w="2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top"/>
          </w:tcPr>
          <w:p>
            <w:r>
              <w:rPr>
                <w:b w:val="false"/>
                <w:bCs w:val="false"/>
                <w:color w:val="3A4A5C"/>
                <w:sz w:val="14"/>
                <w:szCs w:val="14"/>
              </w:rPr>
            </w:r>
          </w:p>
        </w:tc>
      </w:tr>
    </w:tbl>
    <w:p>
      <w:pPr>
        <w:spacing w:after="160" w:before="160"/>
      </w:pPr>
      <w:r>
        <w:t xml:space="preserve"/>
      </w:r>
    </w:p>
    <w:p>
      <w:pPr>
        <w:spacing w:after="120" w:before="240"/>
      </w:pPr>
      <w:r>
        <w:rPr>
          <w:b/>
          <w:bCs/>
          <w:color w:val="1A2B3C"/>
          <w:sz w:val="28"/>
          <w:szCs w:val="28"/>
        </w:rPr>
        <w:t xml:space="preserve">📣  Engagement architecture — five channels scored against brand profile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How this section works</w:t>
            </w:r>
          </w:p>
          <w:p>
            <w:pPr>
              <w:spacing w:after="100"/>
            </w:pPr>
            <w:r>
              <w:rPr>
                <w:color w:val="3A4A5C"/>
                <w:sz w:val="19"/>
                <w:szCs w:val="19"/>
              </w:rPr>
              <w:t xml:space="preserve">Five engagement channels assessed against DUCTZ's profile signals. Each gets a fit rating (HIGH/MEDIUM/LOW) and specific tactics. The right engagement plan combines 2-3 channels weighted by what the brand profile rewards — not a generic mix.</w:t>
            </w:r>
          </w:p>
        </w:tc>
      </w:tr>
    </w:tbl>
    <w:p>
      <w:pPr>
        <w:spacing w:after="80" w:before="80"/>
      </w:pPr>
      <w:r>
        <w:t xml:space="preserve"/>
      </w:r>
    </w:p>
    <w:p>
      <w:pPr>
        <w:spacing w:after="80" w:before="160"/>
      </w:pPr>
      <w:r>
        <w:rPr>
          <w:b/>
          <w:bCs/>
          <w:color w:val="1A2B3C"/>
          <w:sz w:val="22"/>
          <w:szCs w:val="22"/>
        </w:rPr>
        <w:t xml:space="preserve">1. Warm path activation</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Doug Smith (SVP Franchise Development, BFG) — sees DUCTZ adoption data — 94% should be a leadership-visibility surprise · Beth Toenies (VP FD) — second-stage warm path · GPSI customer overlap query (likely high overlap given SB penetration) · BELFOR Holdings operating partner conversations via American Securities. PRIMARY OPENER: walk in with the adoption report. The data IS the warm path.</w:t>
            </w:r>
          </w:p>
        </w:tc>
      </w:tr>
    </w:tbl>
    <w:p>
      <w:pPr>
        <w:spacing w:after="60" w:before="60"/>
      </w:pPr>
      <w:r>
        <w:t xml:space="preserve"/>
      </w:r>
    </w:p>
    <w:p>
      <w:pPr>
        <w:spacing w:after="80" w:before="160"/>
      </w:pPr>
      <w:r>
        <w:rPr>
          <w:b/>
          <w:bCs/>
          <w:color w:val="1A2B3C"/>
          <w:sz w:val="22"/>
          <w:szCs w:val="22"/>
        </w:rPr>
        <w:t xml:space="preserve">2. Direct outreach (LinkedIn, email, calls)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MEDIUM-HIGH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DUCTZ brand-corp leadership conversion conversation should be direct — once the warm path has surfaced names, the data-led case ('your franchisees are 94% on our platform — here's how we formalize this') is a natural direct outreach pitch. Less risk of cold-call rejection because the proof is the network adoption.</w:t>
            </w:r>
          </w:p>
        </w:tc>
      </w:tr>
    </w:tbl>
    <w:p>
      <w:pPr>
        <w:spacing w:after="60" w:before="60"/>
      </w:pPr>
      <w:r>
        <w:t xml:space="preserve"/>
      </w:r>
    </w:p>
    <w:p>
      <w:pPr>
        <w:spacing w:after="80" w:before="160"/>
      </w:pPr>
      <w:r>
        <w:rPr>
          <w:b/>
          <w:bCs/>
          <w:color w:val="1A2B3C"/>
          <w:sz w:val="22"/>
          <w:szCs w:val="22"/>
        </w:rPr>
        <w:t xml:space="preserve">3. Earned media (trade press, podcasts)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MEDIUM-HIGH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DUCTZ adoption story IS the earned media asset for OTHER BELFOR brands. Joint case study with DUCTZ franchisee leadership (within license/permission boundaries) becomes the marquee BFG portfolio reference — turn DUCTZ + HOODZ 94% adoption into industry narrative. HVAC vertical: ACHR News, Contracting Business, Indoor Air Quality publications.</w:t>
            </w:r>
          </w:p>
        </w:tc>
      </w:tr>
    </w:tbl>
    <w:p>
      <w:pPr>
        <w:spacing w:after="60" w:before="60"/>
      </w:pPr>
      <w:r>
        <w:t xml:space="preserve"/>
      </w:r>
    </w:p>
    <w:p>
      <w:pPr>
        <w:spacing w:after="80" w:before="160"/>
      </w:pPr>
      <w:r>
        <w:rPr>
          <w:b/>
          <w:bCs/>
          <w:color w:val="1A2B3C"/>
          <w:sz w:val="22"/>
          <w:szCs w:val="22"/>
        </w:rPr>
        <w:t xml:space="preserve">4. Physical touches (mail, gifts, events)</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EAF3DE" w:val="clear"/>
            <w:tcMar>
              <w:top w:type="dxa" w:w="120"/>
              <w:left w:type="dxa" w:w="160"/>
              <w:bottom w:type="dxa" w:w="120"/>
              <w:right w:type="dxa" w:w="160"/>
            </w:tcMar>
            <w:vAlign w:val="center"/>
          </w:tcPr>
          <w:p>
            <w:pPr>
              <w:jc w:val="center"/>
            </w:pPr>
            <w:r>
              <w:rPr>
                <w:b/>
                <w:bCs/>
                <w:color w:val="27500A"/>
                <w:spacing w:val="40"/>
                <w:sz w:val="18"/>
                <w:szCs w:val="18"/>
              </w:rPr>
              <w:t xml:space="preserve">HIGH</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BFG hosts internal franchisee conferences — DUCTZ adoption story is a natural showcase moment. Coordinate brand-corp formalization announcement timing with BFG events. HVAC trade shows: AHR Expo, NADCA (National Air Duct Cleaners Association). Challenge coin / hand-mailed proof reports to brand-corp leadership work. America 250 letter campaign coordinates.</w:t>
            </w:r>
          </w:p>
        </w:tc>
      </w:tr>
    </w:tbl>
    <w:p>
      <w:pPr>
        <w:spacing w:after="60" w:before="60"/>
      </w:pPr>
      <w:r>
        <w:t xml:space="preserve"/>
      </w:r>
    </w:p>
    <w:p>
      <w:pPr>
        <w:spacing w:after="80" w:before="160"/>
      </w:pPr>
      <w:r>
        <w:rPr>
          <w:b/>
          <w:bCs/>
          <w:color w:val="1A2B3C"/>
          <w:sz w:val="22"/>
          <w:szCs w:val="22"/>
        </w:rPr>
        <w:t xml:space="preserve">5. Inbound signal building (engaging their content, amplifying their voice)</w:t>
      </w:r>
    </w:p>
    <w:tbl>
      <w:tblPr>
        <w:tblW w:type="dxa" w:w="10080"/>
        <w:tblBorders>
          <w:top w:val="single" w:color="D0D5DD" w:sz="4"/>
          <w:left w:val="single" w:color="D0D5DD" w:sz="4"/>
          <w:bottom w:val="single" w:color="D0D5DD" w:sz="4"/>
          <w:right w:val="single" w:color="D0D5DD" w:sz="4"/>
          <w:insideH w:val="single" w:color="auto" w:sz="4"/>
          <w:insideV w:val="single" w:color="auto" w:sz="4"/>
        </w:tblBorders>
      </w:tblPr>
      <w:tblGrid>
        <w:gridCol w:w="1800"/>
        <w:gridCol w:w="8280"/>
      </w:tblGrid>
      <w:tr>
        <w:trPr>
          <w:cantSplit/>
        </w:trPr>
        <w:tc>
          <w:tcPr>
            <w:tcW w:type="dxa" w:w="1800"/>
            <w:tcBorders>
              <w:top w:val="single" w:color="D0D5DD" w:sz="4"/>
              <w:left w:val="single" w:color="D0D5DD" w:sz="4"/>
              <w:bottom w:val="single" w:color="D0D5DD" w:sz="4"/>
              <w:right w:val="single" w:color="D0D5DD" w:sz="4"/>
            </w:tcBorders>
            <w:shd w:fill="FFF4E5" w:val="clear"/>
            <w:tcMar>
              <w:top w:type="dxa" w:w="120"/>
              <w:left w:type="dxa" w:w="160"/>
              <w:bottom w:type="dxa" w:w="120"/>
              <w:right w:type="dxa" w:w="160"/>
            </w:tcMar>
            <w:vAlign w:val="center"/>
          </w:tcPr>
          <w:p>
            <w:pPr>
              <w:jc w:val="center"/>
            </w:pPr>
            <w:r>
              <w:rPr>
                <w:b/>
                <w:bCs/>
                <w:color w:val="C8501F"/>
                <w:spacing w:val="40"/>
                <w:sz w:val="18"/>
                <w:szCs w:val="18"/>
              </w:rPr>
              <w:t xml:space="preserve">MEDIUM</w:t>
            </w:r>
          </w:p>
        </w:tc>
        <w:tc>
          <w:tcPr>
            <w:tcW w:type="dxa" w:w="8280"/>
            <w:tcBorders>
              <w:top w:val="single" w:color="D0D5DD" w:sz="4"/>
              <w:left w:val="single" w:color="D0D5DD" w:sz="4"/>
              <w:bottom w:val="single" w:color="D0D5DD" w:sz="4"/>
              <w:right w:val="single" w:color="D0D5DD" w:sz="4"/>
            </w:tcBorders>
            <w:shd w:fill="FFFFFF" w:val="clear"/>
            <w:tcMar>
              <w:top w:type="dxa" w:w="120"/>
              <w:left w:type="dxa" w:w="200"/>
              <w:bottom w:type="dxa" w:w="120"/>
              <w:right w:type="dxa" w:w="200"/>
            </w:tcMar>
            <w:vAlign w:val="top"/>
          </w:tcPr>
          <w:p>
            <w:r>
              <w:rPr>
                <w:color w:val="3A4A5C"/>
                <w:sz w:val="16"/>
                <w:szCs w:val="16"/>
              </w:rPr>
              <w:t xml:space="preserve">DUCTZ brand-corp social presence likely modest — limits direct engagement. BELFOR FG executive content (Doug Smith, Rusty Amarante) is the engagement target — amplifying parent-franchisor franchise-development thought leadership warms the brand-corp path. DUCTZ adoption story can be amplified through BFG channels for portfolio narrative purposes.</w:t>
            </w:r>
          </w:p>
        </w:tc>
      </w:tr>
    </w:tbl>
    <w:p>
      <w:pPr>
        <w:spacing w:after="160" w:before="160"/>
      </w:pPr>
      <w:r>
        <w:t xml:space="preserve"/>
      </w:r>
    </w:p>
    <w:p>
      <w:pPr>
        <w:spacing w:after="120" w:before="240"/>
      </w:pPr>
      <w:r>
        <w:rPr>
          <w:b/>
          <w:bCs/>
          <w:color w:val="1A2B3C"/>
          <w:sz w:val="28"/>
          <w:szCs w:val="28"/>
        </w:rPr>
        <w:t xml:space="preserve">💼  What's in this for the brand</w:t>
      </w:r>
    </w:p>
    <w:p>
      <w:pPr>
        <w:spacing w:after="120"/>
      </w:pPr>
      <w:r>
        <w:rPr>
          <w:color w:val="3A4A5C"/>
          <w:sz w:val="19"/>
          <w:szCs w:val="19"/>
        </w:rPr>
        <w:t xml:space="preserve">Operational ROI framing for the brand-corp audience. Brand presidents care about franchisee unit economics, royalty stream uplift, retention, and recruitment. They do not care about parent-franchisor exit math. Keep this section operational, not strategic.</w:t>
      </w:r>
    </w:p>
    <w:p>
      <w:pPr>
        <w:spacing w:after="80" w:before="80"/>
      </w:pPr>
      <w:r>
        <w:t xml:space="preserve"/>
      </w:r>
    </w:p>
    <w:p>
      <w:pPr>
        <w:spacing w:after="80" w:before="160"/>
      </w:pPr>
      <w:r>
        <w:rPr>
          <w:b/>
          <w:bCs/>
          <w:color w:val="1A2B3C"/>
          <w:sz w:val="22"/>
          <w:szCs w:val="22"/>
        </w:rPr>
        <w:t xml:space="preserve">Per-franchisee operational ROI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500"/>
        <w:gridCol w:w="1800"/>
        <w:gridCol w:w="4780"/>
      </w:tblGrid>
      <w:tr>
        <w:trPr>
          <w:tblHeader/>
        </w:trPr>
        <w:tc>
          <w:tcPr>
            <w:tcW w:type="dxa" w:w="35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LEVER</w:t>
            </w:r>
          </w:p>
        </w:tc>
        <w:tc>
          <w:tcPr>
            <w:tcW w:type="dxa" w:w="180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DUCTZ VALUE</w:t>
            </w:r>
          </w:p>
        </w:tc>
        <w:tc>
          <w:tcPr>
            <w:tcW w:type="dxa" w:w="4780"/>
            <w:tcBorders>
              <w:top w:val="single" w:color="1A2B3C" w:sz="4"/>
              <w:left w:val="single" w:color="1A2B3C" w:sz="4"/>
              <w:bottom w:val="single" w:color="1A2B3C" w:sz="4"/>
              <w:right w:val="single" w:color="1A2B3C" w:sz="4"/>
            </w:tcBorders>
            <w:shd w:fill="1A2B3C" w:val="clear"/>
            <w:tcMar>
              <w:top w:type="dxa" w:w="70"/>
              <w:left w:type="dxa" w:w="120"/>
              <w:bottom w:type="dxa" w:w="70"/>
              <w:right w:type="dxa" w:w="120"/>
            </w:tcMar>
            <w:vAlign w:val="center"/>
          </w:tcPr>
          <w:p>
            <w:r>
              <w:rPr>
                <w:b/>
                <w:bCs/>
                <w:color w:val="FFFFFF"/>
                <w:spacing w:val="30"/>
                <w:sz w:val="13"/>
                <w:szCs w:val="13"/>
              </w:rPr>
              <w:t xml:space="preserve">MATH</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EBITDA improvement per tech / yr</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$8K (proven)</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Validated by 94% adoption history — demonstrated network productivity gains</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Network EBITDA improvement (DUCTZ scale, full adoption)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$3.2M / yr (94% capture)</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~400 techs × $8K (CRM-derived tech count, conservative estimate)</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Royalty stream uplift to brand corp (~6%)</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$192K / yr</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Direct uplift to brand-corp economics (~6%) — already largely captured but not formalized at brand-corp level</w:t>
            </w:r>
          </w:p>
        </w:tc>
      </w:tr>
      <w:tr>
        <w:trPr>
          <w:cantSplit/>
        </w:trPr>
        <w:tc>
          <w:tcPr>
            <w:tcW w:type="dxa" w:w="35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6"/>
                <w:szCs w:val="16"/>
              </w:rPr>
              <w:t xml:space="preserve">Y1 ARR contribution to BELFOR Franchise Group portfolio (10% penetration)</w:t>
            </w:r>
          </w:p>
        </w:tc>
        <w:tc>
          <w:tcPr>
            <w:tcW w:type="dxa" w:w="180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bCs/>
                <w:color w:val="1A2B3C"/>
                <w:sz w:val="18"/>
                <w:szCs w:val="18"/>
              </w:rPr>
              <w:t xml:space="preserve">$112K (formalization premium)</w:t>
            </w:r>
          </w:p>
        </w:tc>
        <w:tc>
          <w:tcPr>
            <w:tcW w:type="dxa" w:w="4780"/>
            <w:tcBorders>
              <w:top w:val="single" w:color="D0D5DD" w:sz="4"/>
              <w:left w:val="single" w:color="D0D5DD" w:sz="4"/>
              <w:bottom w:val="single" w:color="D0D5DD" w:sz="4"/>
              <w:right w:val="single" w:color="D0D5DD" w:sz="4"/>
            </w:tcBorders>
            <w:shd w:fill="F5F6F8" w:val="clear"/>
            <w:tcMar>
              <w:top w:type="dxa" w:w="100"/>
              <w:left w:type="dxa" w:w="140"/>
              <w:bottom w:type="dxa" w:w="100"/>
              <w:right w:type="dxa" w:w="140"/>
            </w:tcMar>
            <w:vAlign w:val="center"/>
          </w:tcPr>
          <w:p>
            <w:r>
              <w:rPr>
                <w:b w:val="false"/>
                <w:bCs w:val="false"/>
                <w:color w:val="3A4A5C"/>
                <w:sz w:val="14"/>
                <w:szCs w:val="14"/>
              </w:rPr>
              <w:t xml:space="preserve">Brand-corp partnership pricing on existing 94% base + new-franchisee preferred-vendor onboarding</w:t>
            </w:r>
          </w:p>
        </w:tc>
      </w:tr>
      <w:tr>
        <w:trPr>
          <w:cantSplit/>
        </w:trPr>
        <w:tc>
          <w:tcPr>
            <w:tcW w:type="dxa" w:w="35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6"/>
                <w:szCs w:val="16"/>
              </w:rPr>
              <w:t xml:space="preserve">Implementation timeline</w:t>
            </w:r>
          </w:p>
        </w:tc>
        <w:tc>
          <w:tcPr>
            <w:tcW w:type="dxa" w:w="180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bCs/>
                <w:color w:val="1A2B3C"/>
                <w:sz w:val="18"/>
                <w:szCs w:val="18"/>
              </w:rPr>
              <w:t xml:space="preserve">60-day formalization, no implementation</w:t>
            </w:r>
          </w:p>
        </w:tc>
        <w:tc>
          <w:tcPr>
            <w:tcW w:type="dxa" w:w="4780"/>
            <w:tcBorders>
              <w:top w:val="single" w:color="D0D5DD" w:sz="4"/>
              <w:left w:val="single" w:color="D0D5DD" w:sz="4"/>
              <w:bottom w:val="single" w:color="D0D5DD" w:sz="4"/>
              <w:right w:val="single" w:color="D0D5DD" w:sz="4"/>
            </w:tcBorders>
            <w:shd w:fill="FFFFFF" w:val="clear"/>
            <w:tcMar>
              <w:top w:type="dxa" w:w="100"/>
              <w:left w:type="dxa" w:w="140"/>
              <w:bottom w:type="dxa" w:w="100"/>
              <w:right w:type="dxa" w:w="140"/>
            </w:tcMar>
            <w:vAlign w:val="center"/>
          </w:tcPr>
          <w:p>
            <w:r>
              <w:rPr>
                <w:b w:val="false"/>
                <w:bCs w:val="false"/>
                <w:color w:val="3A4A5C"/>
                <w:sz w:val="14"/>
                <w:szCs w:val="14"/>
              </w:rPr>
              <w:t xml:space="preserve">Conversion play — no rollout needed, just brand-corp partnership formalization. Faster than greenfield deployments.</w:t>
            </w:r>
          </w:p>
        </w:tc>
      </w:tr>
    </w:tbl>
    <w:p>
      <w:pPr>
        <w:spacing w:after="120" w:before="120"/>
      </w:pPr>
      <w:r>
        <w:t xml:space="preserve"/>
      </w:r>
    </w:p>
    <w:p>
      <w:pPr>
        <w:spacing w:after="80" w:before="160"/>
      </w:pPr>
      <w:r>
        <w:rPr>
          <w:b/>
          <w:bCs/>
          <w:color w:val="1A2B3C"/>
          <w:sz w:val="22"/>
          <w:szCs w:val="22"/>
        </w:rPr>
        <w:t xml:space="preserve">Retention and recruitment narrative</w:t>
      </w:r>
    </w:p>
    <w:p>
      <w:pPr>
        <w:pStyle w:val="ListParagraph"/>
        <w:numPr>
          <w:ilvl w:val="0"/>
          <w:numId w:val="2"/>
        </w:numPr>
        <w:spacing w:after="80"/>
      </w:pPr>
      <w:r>
        <w:rPr>
          <w:color w:val="3A4A5C"/>
          <w:sz w:val="19"/>
          <w:szCs w:val="19"/>
        </w:rPr>
        <w:t xml:space="preserve">Franchisee retention: brand-corp formalization removes franchisee uncertainty about technology continuity. The 94% adoption signals strong franchisee preference — formalizing protects against any future brand-corp-driven platform change disrupting that preference.</w:t>
      </w:r>
    </w:p>
    <w:p>
      <w:pPr>
        <w:pStyle w:val="ListParagraph"/>
        <w:numPr>
          <w:ilvl w:val="0"/>
          <w:numId w:val="2"/>
        </w:numPr>
        <w:spacing w:after="80"/>
      </w:pPr>
      <w:r>
        <w:rPr>
          <w:color w:val="3A4A5C"/>
          <w:sz w:val="19"/>
          <w:szCs w:val="19"/>
        </w:rPr>
        <w:t xml:space="preserve">Franchisee recruitment: prospective DUCTZ franchisees benefit from a documented technology stack as part of the brand promise. Formalization makes ServiceBridge a recruitment talking point ('your operations platform is already chosen and proven by 94% of the network').</w:t>
      </w:r>
    </w:p>
    <w:p>
      <w:pPr>
        <w:pStyle w:val="ListParagraph"/>
        <w:numPr>
          <w:ilvl w:val="0"/>
          <w:numId w:val="2"/>
        </w:numPr>
        <w:spacing w:after="80"/>
      </w:pPr>
      <w:r>
        <w:rPr>
          <w:color w:val="3A4A5C"/>
          <w:sz w:val="19"/>
          <w:szCs w:val="19"/>
        </w:rPr>
        <w:t xml:space="preserve">Reporting visibility: brand corp currently has limited visibility into franchisee operations data despite 94% running on the same platform. Formalization unlocks brand-corp-level reporting that drives QA, training, and territory decisions.</w:t>
      </w:r>
    </w:p>
    <w:p>
      <w:pPr>
        <w:spacing w:after="120" w:before="120"/>
      </w:pPr>
      <w:r>
        <w:t xml:space="preserve"/>
      </w:r>
    </w:p>
    <w:p>
      <w:pPr>
        <w:spacing w:after="80" w:before="160"/>
      </w:pPr>
      <w:r>
        <w:rPr>
          <w:b/>
          <w:bCs/>
          <w:color w:val="1A2B3C"/>
          <w:sz w:val="22"/>
          <w:szCs w:val="22"/>
        </w:rPr>
        <w:t xml:space="preserve">Bridge upward — parent franchisor narrative</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color w:val="3A4A5C"/>
                <w:sz w:val="19"/>
                <w:szCs w:val="19"/>
              </w:rPr>
              <w:t xml:space="preserve">DUCTZ formalization + HOODZ formalization = the dual-anchor BELFOR portfolio narrative for American Securities pre-exit. Both at 94% organic adoption + both formally partnered with ServiceBridge demonstrates network operational consistency at the parent franchisor level. This is meaningful portfolio EBITDA evidence — standardized franchisee operations data, reduced platform risk, network technology coherence. Internal narrative; not foregrounded in brand-corp conversations.</w:t>
            </w:r>
          </w:p>
        </w:tc>
      </w:tr>
    </w:tbl>
    <w:p>
      <w:pPr>
        <w:spacing w:after="120" w:before="120"/>
      </w:pPr>
      <w:r>
        <w:t xml:space="preserve"/>
      </w:r>
    </w:p>
    <w:p>
      <w:pPr>
        <w:spacing w:after="120" w:before="240"/>
      </w:pPr>
      <w:r>
        <w:rPr>
          <w:b/>
          <w:bCs/>
          <w:color w:val="1A2B3C"/>
          <w:sz w:val="28"/>
          <w:szCs w:val="28"/>
        </w:rPr>
        <w:t xml:space="preserve">⚔️  Competitive landscape — brand-level FSM map</w:t>
      </w:r>
    </w:p>
    <w:tbl>
      <w:tblPr>
        <w:tblW w:type="dxa" w:w="10080"/>
        <w:tblBorders>
          <w:top w:val="single" w:color="D0D5DD" w:sz="6"/>
          <w:left w:val="single" w:color="D0D5DD" w:sz="6"/>
          <w:bottom w:val="single" w:color="D0D5DD" w:sz="6"/>
          <w:right w:val="single" w:color="D0D5DD" w:sz="6"/>
          <w:insideH w:val="single" w:color="auto" w:sz="4"/>
          <w:insideV w:val="single" w:color="auto" w:sz="4"/>
        </w:tblBorders>
      </w:tblPr>
      <w:tblGrid>
        <w:gridCol w:w="10080"/>
      </w:tblGrid>
      <w:tr>
        <w:tc>
          <w:tcPr>
            <w:tcW w:type="dxa" w:w="10080"/>
            <w:shd w:fill="F5F6F8" w:val="clear"/>
            <w:tcMar>
              <w:top w:type="dxa" w:w="200"/>
              <w:left w:type="dxa" w:w="280"/>
              <w:bottom w:type="dxa" w:w="200"/>
              <w:right w:type="dxa" w:w="280"/>
            </w:tcMar>
          </w:tcPr>
          <w:p>
            <w:pPr>
              <w:spacing w:after="100"/>
            </w:pPr>
            <w:r>
              <w:rPr>
                <w:b/>
                <w:bCs/>
                <w:color w:val="1A2B3C"/>
                <w:sz w:val="22"/>
                <w:szCs w:val="22"/>
              </w:rPr>
              <w:t xml:space="preserve">DUCTZ FSM posture: DE FACTO ANCHOR (94% SB) → AWAITING FORMALIZATION</w:t>
            </w:r>
          </w:p>
          <w:p>
            <w:pPr>
              <w:spacing w:after="100"/>
            </w:pPr>
            <w:r>
              <w:rPr>
                <w:color w:val="3A4A5C"/>
                <w:sz w:val="19"/>
                <w:szCs w:val="19"/>
              </w:rPr>
              <w:t xml:space="preserve">DUCTZ operates in a unique posture: 94% ServiceBridge penetration without brand-corp mandate. Identical to HOODZ. The competitive question for DUCTZ is not displacement — it's why brand corp hasn't formalized what franchisees already do, and what could disrupt that organic alignment.</w:t>
            </w:r>
          </w:p>
          <w:p>
            <w:pPr>
              <w:spacing w:after="100"/>
            </w:pPr>
            <w:r>
              <w:rPr>
                <w:color w:val="3A4A5C"/>
                <w:sz w:val="19"/>
                <w:szCs w:val="19"/>
              </w:rPr>
              <w:t xml:space="preserve">Risk scenarios: (1) brand corp formalizes with a different vendor through inattention or competitive lobbying, (2) brand corp ignores formalization entirely and franchisees fragment over time, (3) ServiceTitan or another competitor approaches brand corp first with a bundled offer. ServiceBridge's response: be the brand-corp formalization conversation initiator before anyone else gets there.</w:t>
            </w:r>
          </w:p>
          <w:p>
            <w:pPr>
              <w:spacing w:after="100"/>
            </w:pPr>
            <w:r>
              <w:rPr>
                <w:color w:val="3A4A5C"/>
                <w:sz w:val="19"/>
                <w:szCs w:val="19"/>
              </w:rPr>
              <w:t xml:space="preserve">Generalized framework: DUCTZ exists in a category that doesn't fit MANDATED / PREFERRED / MIXED / GREENFIELD cleanly — it's DE FACTO ANCHOR. The brand-corp engagement converts that anchor into formalization.</w:t>
            </w:r>
          </w:p>
          <w:p>
            <w:pPr>
              <w:spacing w:after="100"/>
            </w:pPr>
            <w:r>
              <w:rPr>
                <w:color w:val="3A4A5C"/>
                <w:sz w:val="19"/>
                <w:szCs w:val="19"/>
              </w:rPr>
              <w:t xml:space="preserve">Sister-brand HOODZ provides the playbook validation. Same pattern, same brand corp situation, same conversion play. DUCTZ formalization can model on whatever path HOODZ formalization takes (or vice versa).</w:t>
            </w:r>
          </w:p>
        </w:tc>
      </w:tr>
    </w:tbl>
    <w:p>
      <w:pPr>
        <w:spacing w:after="120" w:before="120"/>
      </w:pPr>
      <w:r>
        <w:t xml:space="preserve"/>
      </w:r>
    </w:p>
    <w:p>
      <w:pPr>
        <w:spacing w:after="120" w:before="240"/>
      </w:pPr>
      <w:r>
        <w:rPr>
          <w:b/>
          <w:bCs/>
          <w:color w:val="1A2B3C"/>
          <w:sz w:val="28"/>
          <w:szCs w:val="28"/>
        </w:rPr>
        <w:t xml:space="preserve">📐  How we scored this</w:t>
      </w:r>
    </w:p>
    <w:tbl>
      <w:tblPr>
        <w:tblW w:type="dxa" w:w="10080"/>
        <w:tblBorders>
          <w:top w:val="single" w:color="E8D89C" w:sz="6"/>
          <w:left w:val="single" w:color="E8D89C" w:sz="6"/>
          <w:bottom w:val="single" w:color="E8D89C" w:sz="6"/>
          <w:right w:val="single" w:color="E8D89C" w:sz="6"/>
          <w:insideH w:val="single" w:color="auto" w:sz="4"/>
          <w:insideV w:val="single" w:color="auto" w:sz="4"/>
        </w:tblBorders>
      </w:tblPr>
      <w:tblGrid>
        <w:gridCol w:w="10080"/>
      </w:tblGrid>
      <w:tr>
        <w:tc>
          <w:tcPr>
            <w:tcW w:type="dxa" w:w="10080"/>
            <w:shd w:fill="FBF4E0" w:val="clear"/>
            <w:tcMar>
              <w:top w:type="dxa" w:w="200"/>
              <w:left w:type="dxa" w:w="280"/>
              <w:bottom w:type="dxa" w:w="200"/>
              <w:right w:type="dxa" w:w="280"/>
            </w:tcMar>
          </w:tcPr>
          <w:p>
            <w:pPr>
              <w:spacing w:after="100"/>
            </w:pPr>
            <w:r>
              <w:rPr>
                <w:b/>
                <w:bCs/>
                <w:color w:val="1A2B3C"/>
                <w:sz w:val="22"/>
                <w:szCs w:val="22"/>
              </w:rPr>
              <w:t xml:space="preserve">V2 framework calculation for DUCTZ</w:t>
            </w:r>
          </w:p>
          <w:p>
            <w:pPr>
              <w:spacing w:after="100"/>
            </w:pPr>
            <w:r>
              <w:rPr>
                <w:color w:val="3A4A5C"/>
                <w:sz w:val="19"/>
                <w:szCs w:val="19"/>
              </w:rPr>
              <w:t xml:space="preserve">V2 brand-corp scoring uses 7 dimensions weighted for brand-corp velocity: Greenfield (30%), Network (15%), PE (10%), DM Access (15%), Urgency (15%), Displacement (5%), C/B Mix (10%) — plus parent-tier inheritance bonus.</w:t>
            </w:r>
          </w:p>
          <w:p>
            <w:pPr>
              <w:spacing w:after="100"/>
            </w:pPr>
            <w:r>
              <w:rPr>
                <w:color w:val="3A4A5C"/>
                <w:sz w:val="19"/>
                <w:szCs w:val="19"/>
              </w:rPr>
              <w:t xml:space="preserve">DUCTZ dimension scores: Greenfield 30/100, Network 50/100, PE 75/100, DM Access 90/100, Urgency 90/100, Displacement 30/100, C/B Mix 80/100.</w:t>
            </w:r>
          </w:p>
          <w:p>
            <w:pPr>
              <w:spacing w:after="100"/>
            </w:pPr>
            <w:r>
              <w:rPr>
                <w:color w:val="3A4A5C"/>
                <w:sz w:val="19"/>
                <w:szCs w:val="19"/>
              </w:rPr>
              <w:t xml:space="preserve">Weighted base score: (30×0.30) + (50×0.15) + (75×0.10) + (90×0.15) + (90×0.15) + (30×0.05) + (80×0.10) = 60 base. Plus parent inheritance bonus +25 (P2 · #1 DE-FACTO ANCHOR) + modifier +18 = 103 total.</w:t>
            </w:r>
          </w:p>
          <w:p>
            <w:pPr>
              <w:spacing w:after="100"/>
            </w:pPr>
            <w:r>
              <w:rPr>
                <w:color w:val="3A4A5C"/>
                <w:sz w:val="19"/>
                <w:szCs w:val="19"/>
              </w:rPr>
              <w:t xml:space="preserve">Score 103 = T1 LEAD PILOT — DEEP ENGAGE per the Track 2 tier framework. Tier brackets: 100+ = T1, 90-99 = T2, 80-89 = T3, 70-79 = T4, 60-69 = T5, 50-59 = T6, 40-49 = T7, &lt;40 or excluded = T8.</w:t>
            </w:r>
          </w:p>
        </w:tc>
      </w:tr>
    </w:tbl>
    <w:p>
      <w:pPr>
        <w:spacing w:after="160" w:before="160"/>
      </w:pPr>
      <w:r>
        <w:t xml:space="preserve"/>
      </w:r>
    </w:p>
    <w:p>
      <w:pPr>
        <w:pBdr>
          <w:bottom w:val="single" w:color="185FA5" w:sz="6" w:space="1"/>
        </w:pBdr>
        <w:spacing w:after="200"/>
      </w:pPr>
      <w:r>
        <w:t xml:space="preserve"/>
      </w:r>
    </w:p>
    <w:p>
      <w:pPr>
        <w:jc w:val="center"/>
      </w:pPr>
      <w:r>
        <w:rPr>
          <w:i/>
          <w:iCs/>
          <w:color w:val="6B7A8B"/>
          <w:sz w:val="17"/>
          <w:szCs w:val="17"/>
        </w:rPr>
        <w:t xml:space="preserve">— End of DUCTZ readiness package —</w:t>
      </w:r>
    </w:p>
    <w:p>
      <w:pPr>
        <w:spacing w:after="60" w:before="60"/>
      </w:pPr>
      <w:r>
        <w:t xml:space="preserve"/>
      </w:r>
    </w:p>
    <w:p>
      <w:pPr>
        <w:jc w:val="center"/>
      </w:pPr>
      <w:r>
        <w:rPr>
          <w:i/>
          <w:iCs/>
          <w:color w:val="6B7A8B"/>
          <w:sz w:val="15"/>
          <w:szCs w:val="15"/>
        </w:rPr>
        <w:t xml:space="preserve">Velocity GTM Co LLC  ·  Stage 2 Brand-Corp Readiness  ·  DUCTZ  ·  Built from CRM v15.6  ·  April 30, 2026</w:t>
      </w:r>
    </w:p>
    <w:sectPr>
      <w:headerReference w:type="default" r:id="rId7"/>
      <w:footerReference w:type="default" r:id="rId8"/>
      <w:pgSz w:w="12240" w:h="15840" w:orient="portrait"/>
      <w:pgMar w:top="1080" w:right="1080" w:bottom="1080" w:left="1080" w:header="540" w:footer="54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A8B"/>
        <w:sz w:val="16"/>
        <w:szCs w:val="16"/>
      </w:rPr>
      <w:t xml:space="preserve">Velocity GTM Co LLC  ·  April 30, 2026  ·  Page </w:t>
    </w:r>
    <w:r>
      <w:rPr>
        <w:color w:val="6B7A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b/>
        <w:bCs/>
        <w:color w:val="6B7A8B"/>
        <w:sz w:val="14"/>
        <w:szCs w:val="14"/>
      </w:rPr>
      <w:t xml:space="preserve">STAGE 2 · NORTHSTAR REFERENCE  ·  DUCTZ  ·  CRM v15.6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DUCTZ Stage 2 Brand-Corp Readiness Package — CRM v15.6</dc:title>
  <dc:creator>Michael Montgomery Flynt Jr</dc:creator>
  <cp:lastModifiedBy>Un-named</cp:lastModifiedBy>
  <cp:revision>1</cp:revision>
  <dcterms:created xsi:type="dcterms:W3CDTF">2026-04-30T23:50:07.124Z</dcterms:created>
  <dcterms:modified xsi:type="dcterms:W3CDTF">2026-04-30T23:50:07.124Z</dcterms:modified>
</cp:coreProperties>
</file>

<file path=docProps/custom.xml><?xml version="1.0" encoding="utf-8"?>
<Properties xmlns="http://schemas.openxmlformats.org/officeDocument/2006/custom-properties" xmlns:vt="http://schemas.openxmlformats.org/officeDocument/2006/docPropsVTypes"/>
</file>