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Lawn Pride</w:t>
      </w:r>
    </w:p>
    <w:p>
      <w:pPr>
        <w:spacing w:after="120"/>
        <w:jc w:val="center"/>
      </w:pPr>
      <w:r>
        <w:rPr>
          <w:i/>
          <w:iCs/>
          <w:color w:val="6B7A8B"/>
          <w:sz w:val="17"/>
          <w:szCs w:val="17"/>
        </w:rPr>
        <w:t xml:space="preserve">Parent: Neighborly  ·  Vertical: Lawn care services (turf, weed control, fertilization)</w:t>
      </w:r>
    </w:p>
    <w:p>
      <w:pPr>
        <w:spacing w:after="120"/>
        <w:jc w:val="center"/>
      </w:pPr>
      <w:r>
        <w:rPr>
          <w:i/>
          <w:iCs/>
          <w:color w:val="6B7A8B"/>
          <w:sz w:val="17"/>
          <w:szCs w:val="17"/>
        </w:rPr>
        <w:t xml:space="preserve">V2 Score: 29  ·  Tier: T8 HOLD — MONITOR  ·  P1 · #1 · PE-GATED</w:t>
      </w:r>
    </w:p>
    <w:p>
      <w:pPr>
        <w:spacing w:after="60" w:before="60"/>
      </w:pPr>
      <w:r>
        <w:t xml:space="preserve"/>
      </w:r>
    </w:p>
    <w:tbl>
      <w:tblPr>
        <w:tblW w:type="dxa" w:w="10080"/>
        <w:tblBorders>
          <w:top w:val="single" w:color="9CA3AF" w:sz="0"/>
          <w:left w:val="single" w:color="9CA3AF" w:sz="0"/>
          <w:bottom w:val="single" w:color="9CA3AF" w:sz="0"/>
          <w:right w:val="single" w:color="9CA3AF" w:sz="0"/>
          <w:insideH w:val="single" w:color="auto" w:sz="4"/>
          <w:insideV w:val="single" w:color="auto" w:sz="4"/>
        </w:tblBorders>
      </w:tblPr>
      <w:tblGrid>
        <w:gridCol w:w="10080"/>
      </w:tblGrid>
      <w:tr>
        <w:tc>
          <w:tcPr>
            <w:tcW w:type="dxa" w:w="10080"/>
            <w:tcBorders>
              <w:top w:val="single" w:color="9CA3AF" w:sz="4"/>
              <w:left w:val="single" w:color="9CA3AF" w:sz="4"/>
              <w:bottom w:val="single" w:color="9CA3AF" w:sz="4"/>
              <w:right w:val="single" w:color="9CA3AF" w:sz="4"/>
            </w:tcBorders>
            <w:shd w:fill="9CA3AF" w:val="clear"/>
            <w:tcMar>
              <w:top w:type="dxa" w:w="180"/>
              <w:left w:type="dxa" w:w="280"/>
              <w:bottom w:type="dxa" w:w="180"/>
              <w:right w:type="dxa" w:w="280"/>
            </w:tcMar>
            <w:vAlign w:val="center"/>
          </w:tcPr>
          <w:p>
            <w:pPr>
              <w:jc w:val="center"/>
            </w:pPr>
            <w:r>
              <w:rPr>
                <w:b/>
                <w:bCs/>
                <w:color w:val="FFFFFF"/>
                <w:spacing w:val="80"/>
                <w:sz w:val="26"/>
                <w:szCs w:val="26"/>
              </w:rPr>
              <w:t xml:space="preserve">⚪  T8 NOT FSM SCOPE</w:t>
            </w:r>
          </w:p>
        </w:tc>
      </w:tr>
    </w:tbl>
    <w:p>
      <w:pPr>
        <w:spacing w:after="120" w:before="120"/>
      </w:pPr>
      <w:r>
        <w:t xml:space="preserve"/>
      </w:r>
    </w:p>
    <w:p>
      <w:pPr>
        <w:spacing w:after="120" w:before="240"/>
      </w:pPr>
      <w:r>
        <w:rPr>
          <w:b/>
          <w:bCs/>
          <w:color w:val="1A2B3C"/>
          <w:sz w:val="28"/>
          <w:szCs w:val="28"/>
        </w:rPr>
        <w:t xml:space="preserve">My read on Lawn Pride</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Lawn Pride scores low within Neighborly engageable set</w:t>
            </w:r>
          </w:p>
          <w:p>
            <w:pPr>
              <w:spacing w:after="100"/>
            </w:pPr>
            <w:r>
              <w:rPr>
                <w:color w:val="3A4A5C"/>
                <w:sz w:val="19"/>
                <w:szCs w:val="19"/>
              </w:rPr>
              <w:t xml:space="preserve">Lawn Pride scored 29 — placing it in T8 within the Neighborly engageable set. The combined low score reflects: FieldRoutes/ST unconfirmed mandate flag, modest network size, lower vertical fit than HVAC/plumbing, PE-gated engagement constraints.</w:t>
            </w:r>
          </w:p>
          <w:p>
            <w:pPr>
              <w:spacing w:after="100"/>
            </w:pPr>
            <w:r>
              <w:rPr>
                <w:color w:val="3A4A5C"/>
                <w:sz w:val="19"/>
                <w:szCs w:val="19"/>
              </w:rPr>
              <w:t xml:space="preserve">Per CRM v15.6, Lawn Pride is approximately 150 locations × 3 techs/loc = 450 techs. Documented here for completeness in the Neighborly engageable readiness portfolio. T8 placement matches monitor-mode posture.</w:t>
            </w:r>
          </w:p>
          <w:p>
            <w:pPr>
              <w:spacing w:after="100"/>
            </w:pPr>
            <w:r>
              <w:rPr>
                <w:color w:val="3A4A5C"/>
                <w:sz w:val="19"/>
                <w:szCs w:val="19"/>
              </w:rPr>
              <w:t xml:space="preserve">Strategic frame: monitor-mode unless coordinated PE-gated engagement at higher-priority Neighborly brands creates an opening. ⚠️ PE-GATED: Neighborly engagement is multi-year strategic via Charles → Accel-KKR → KKR warm path. Direct outreach to brand corp is DISCOURAGED — brand-level engagement should be coordinated through parent franchisor PE relationship pathway.</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Low-tier within Neighborly engageable set. Monitor mode, not active engagement.</w:t>
      </w:r>
    </w:p>
    <w:p>
      <w:pPr>
        <w:pStyle w:val="ListParagraph"/>
        <w:numPr>
          <w:ilvl w:val="0"/>
          <w:numId w:val="2"/>
        </w:numPr>
        <w:spacing w:after="80"/>
      </w:pPr>
      <w:r>
        <w:rPr>
          <w:color w:val="3A4A5C"/>
          <w:sz w:val="19"/>
          <w:szCs w:val="19"/>
        </w:rPr>
        <w:t xml:space="preserve">Coordinate with higher-priority Neighborly brands' engagement timing. Don't approach independently.</w:t>
      </w:r>
    </w:p>
    <w:p>
      <w:pPr>
        <w:pStyle w:val="ListParagraph"/>
        <w:numPr>
          <w:ilvl w:val="0"/>
          <w:numId w:val="2"/>
        </w:numPr>
        <w:spacing w:after="80"/>
      </w:pPr>
      <w:r>
        <w:rPr>
          <w:color w:val="3A4A5C"/>
          <w:sz w:val="19"/>
          <w:szCs w:val="19"/>
        </w:rPr>
        <w:t xml:space="preserve">450 techs at $13,500 Y1@10% — modest revenue ceiling.</w:t>
      </w:r>
    </w:p>
    <w:p>
      <w:pPr>
        <w:pStyle w:val="ListParagraph"/>
        <w:numPr>
          <w:ilvl w:val="0"/>
          <w:numId w:val="2"/>
        </w:numPr>
        <w:spacing w:after="80"/>
      </w:pPr>
      <w:r>
        <w:rPr>
          <w:color w:val="3A4A5C"/>
          <w:sz w:val="19"/>
          <w:szCs w:val="19"/>
        </w:rPr>
        <w:t xml:space="preserve">FieldRoutes (ST-owned) is competitive incumbent for lawn care vertical.</w:t>
      </w:r>
    </w:p>
    <w:p>
      <w:pPr>
        <w:pStyle w:val="ListParagraph"/>
        <w:numPr>
          <w:ilvl w:val="0"/>
          <w:numId w:val="2"/>
        </w:numPr>
        <w:spacing w:after="80"/>
      </w:pPr>
      <w:r>
        <w:rPr>
          <w:color w:val="3A4A5C"/>
          <w:sz w:val="19"/>
          <w:szCs w:val="19"/>
        </w:rPr>
        <w:t xml:space="preserve">Lawn care vertical fit is moderate — recurring routes work, but lower dispatch density.</w:t>
      </w:r>
    </w:p>
    <w:p>
      <w:pPr>
        <w:pStyle w:val="ListParagraph"/>
        <w:numPr>
          <w:ilvl w:val="0"/>
          <w:numId w:val="2"/>
        </w:numPr>
        <w:spacing w:after="80"/>
      </w:pPr>
      <w:r>
        <w:rPr>
          <w:color w:val="3A4A5C"/>
          <w:sz w:val="19"/>
          <w:szCs w:val="19"/>
        </w:rPr>
        <w:t xml:space="preserve">Documented for portfolio completeness. Reactivate readiness when PE-gated engagement opens broader Neighborly door.</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KKR (active investor, exit window 2026-27)</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KKR portfolio · Neighborly press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P1 · #1 · PE-GATED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Lawn care services (turf, weed control, fertilization)</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Brand site / Neighborly</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150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450 (~3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very low</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Lawn Pride brand leadership (TBD specific name)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Gagan Sinha CIO at Neighborly portfolio level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Neighborly press · LinkedIn</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Lawn care services (turf, weed control, fertilization) 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Likely Smart Fleet USA preferred (Neighborly portfolio standard)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Smart Fleet USA partnership confirmed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portfolio-level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Heavy residential consumer + light commercial lawn care</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Lawn Pride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Moderate — within Neighborly portfolio architecture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LAWN PRIDE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VARIES — brand-specific (see vertical fit row)</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Greenfield bump applies where no FSM mandate. Within Neighborly, only specific brands and non-ST locations qualify.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Neighborly franchisees range across QB, brand-specific tools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portfolio doesn't standardize accounting stack. Per-brand validation required.</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consumer — Neighborly is consumer-led portfolio</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Consumer-led brands favor reviews/SEO/local marketing. Recurring-billing ROI math still applies for routes.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GPO / buying group membership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Neighborly portfolio-level (no separate brand GPO)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access portfolio-level vendor agreements. Brand-corp endorsement gated on parent franchisor approval.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Lawn care — moderate SB fit (recurring routes, customer billing)</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Recurring service vertical aligns with SB but lower dispatch density than HVAC/plumbing.</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150 locs / 450 techs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Modest scale within Neighborly engageable set.</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brand-corp coordination required. Local trade-press still relevant for franchisee recruitment.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Multi-unit operator density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TBD — research gap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often multi-brand operators (own franchises across portfolio). Density unlocks portfolio-level conversations.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GPSI customer overlap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Likely Smart Fleet USA preferred (Neighborly standard)</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Highest weight on warm-path scoring. Neighborly's preferred telematics is Smart Fleet USA (Azuga platform) — hard conflict flag for any GPSI-led approach.</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FieldRoutes/ST flagged in CRM (unconfirmed mandate); MIXED at brand-corp level</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FieldRoutes (ST-owned) likely competitive incumbent. Engagement window narrows if mandate becomes formal.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Recent leadership changes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Gagan Sinha CIO (Sept 2025) — primary FSM decision-maker, still forming roadmap</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CIO transition creates open-roadmap opportunity but PE-gated engagement constraint applies.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Public visibility / engagement signals</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Moderate — established brand within Neighborly portfolio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Warm-path / parent-franchisor route dominates. Direct outreach gated on PE pathway.</w:t>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Lawn Pride's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PRIMARY PATH. Charles → Accel-KKR → KKR warm path is the dominant engagement channel for any Neighborly brand. Felix Gernburd + David Brandon at KKR are the warm-intro path Charles holds. Gagan Sinha CIO (joined Sept 2025 from Bloomin' Brands) is the primary FSM decision-maker at Neighborly — coordinate any Sinha conversation through the KKR pathway. GPSI overlap query at Neighborly is likely partial; Smart Fleet USA is Neighborly's preferred telematics — direct GPSI-led approaches face conflict flag.</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CEBEB" w:val="clear"/>
            <w:tcMar>
              <w:top w:type="dxa" w:w="120"/>
              <w:left w:type="dxa" w:w="160"/>
              <w:bottom w:type="dxa" w:w="120"/>
              <w:right w:type="dxa" w:w="160"/>
            </w:tcMar>
            <w:vAlign w:val="center"/>
          </w:tcPr>
          <w:p>
            <w:pPr>
              <w:jc w:val="center"/>
            </w:pPr>
            <w:r>
              <w:rPr>
                <w:b/>
                <w:bCs/>
                <w:color w:val="8B0000"/>
                <w:spacing w:val="40"/>
                <w:sz w:val="18"/>
                <w:szCs w:val="18"/>
              </w:rPr>
              <w:t xml:space="preserve">LOW</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 PE-GATED — DIRECT OUTREACH DISCOURAGED. Neighborly brand-corp leadership accessible via LinkedIn but direct cold outreach risks fragmenting the strategic PE-gated approach. Reserved for AFTER warm path establishes preliminary brand-corp interest. Independent direct outreach to Neighborly brand presidents without coordination through Charles/KKR pathway is OUT of scope.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Lawn care services (turf, weed control, fertilization) vertical trade publications. Joint thought leadership with parent Neighborly content (Bidwell legacy stories carefully handled, Mike Bidwell's passing Sept 2023 sensitive context). Franchise vertical: Franchise Times, Entrepreneur Franchise 500. Parent franchisor narrative dominates over brand-corp specifics.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hosts portfolio-wide franchisee events (Reunion, regional summits) — high-leverage venues but require Neighborly-level coordination. Lawn care services (turf, weed control, fertilization) industry events. Franchise: IFA Annual Convention. America 250 letter campaign reaches Neighborly portfolio — coordinate brand-corp specific reinforcement through parent channel.</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executive content (Mike Hay CEO, Gagan Sinha CIO) is the primary engagement target — amplifying parent-franchisor thought leadership warms the portfolio path. Brand-specific brand-corp social presence likely modest. Use parent narrative as the inbound surface.</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LAWN PRIDE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$5K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Modest dispatch + billing capture for vertical</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(Lawn Pride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$2.3M / yr</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~450 techs × $5K</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$135K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Neighborly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$13500</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45 techs × $300/tech/yr SB pricing</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PE-gated coordination adds upstream timeline</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brand-led FSM via PE-gated pathway formalizes platform choice for Lawn Pride franchisees.</w:t>
      </w:r>
    </w:p>
    <w:p>
      <w:pPr>
        <w:pStyle w:val="ListParagraph"/>
        <w:numPr>
          <w:ilvl w:val="0"/>
          <w:numId w:val="2"/>
        </w:numPr>
        <w:spacing w:after="80"/>
      </w:pPr>
      <w:r>
        <w:rPr>
          <w:color w:val="3A4A5C"/>
          <w:sz w:val="19"/>
          <w:szCs w:val="19"/>
        </w:rPr>
        <w:t xml:space="preserve">Franchisee recruitment: Neighborly portfolio brand-promise inclusion lifts recruitment yield.</w:t>
      </w:r>
    </w:p>
    <w:p>
      <w:pPr>
        <w:pStyle w:val="ListParagraph"/>
        <w:numPr>
          <w:ilvl w:val="0"/>
          <w:numId w:val="2"/>
        </w:numPr>
        <w:spacing w:after="80"/>
      </w:pPr>
      <w:r>
        <w:rPr>
          <w:color w:val="3A4A5C"/>
          <w:sz w:val="19"/>
          <w:szCs w:val="19"/>
        </w:rPr>
        <w:t xml:space="preserve">Reporting visibility: Neighborly gains brand-corp visibility into Lawn Pride franchisee operations through standardized FSM data.</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at Lawn Pride are a small contributor to Neighborly portfolio narrative. Coordinated engagement across Neighborly engageable brands builds the portfolio adoption pattern that bridges to KKR pre-exit narrative. Internal; not foregrounded.</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Lawn Pride FSM posture: MIXED (FieldRoutes/ST flag unconfirmed)</w:t>
            </w:r>
          </w:p>
          <w:p>
            <w:pPr>
              <w:spacing w:after="100"/>
            </w:pPr>
            <w:r>
              <w:rPr>
                <w:color w:val="3A4A5C"/>
                <w:sz w:val="19"/>
                <w:szCs w:val="19"/>
              </w:rPr>
              <w:t xml:space="preserve">Lawn Pride operates in MIXED posture — FieldRoutes/ST is the suspected platform but mandate status is unconfirmed.</w:t>
            </w:r>
          </w:p>
          <w:p>
            <w:pPr>
              <w:spacing w:after="100"/>
            </w:pPr>
            <w:r>
              <w:rPr>
                <w:color w:val="3A4A5C"/>
                <w:sz w:val="19"/>
                <w:szCs w:val="19"/>
              </w:rPr>
              <w:t xml:space="preserve">Generalized framework: brand corps split into four FSM postures. Lawn Pride = MIXED with unconfirmed FieldRoutes/ST flag.</w:t>
            </w:r>
          </w:p>
          <w:p>
            <w:pPr>
              <w:spacing w:after="100"/>
            </w:pPr>
            <w:r>
              <w:rPr>
                <w:color w:val="3A4A5C"/>
                <w:sz w:val="19"/>
                <w:szCs w:val="19"/>
              </w:rPr>
              <w:t xml:space="preserve">Competitive risk: FieldRoutes likely consolidating Lawn Pride. Engagement window narrowing.</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Lawn Pride</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Lawn Pride dimension scores: Greenfield 35/100, Network 25/100, PE 90/100, DM Access 30/100, Urgency 40/100, Displacement 25/100, C/B Mix 50/100.</w:t>
            </w:r>
          </w:p>
          <w:p>
            <w:pPr>
              <w:spacing w:after="100"/>
            </w:pPr>
            <w:r>
              <w:rPr>
                <w:color w:val="3A4A5C"/>
                <w:sz w:val="19"/>
                <w:szCs w:val="19"/>
              </w:rPr>
              <w:t xml:space="preserve">Weighted base score: (35×0.30) + (25×0.15) + (90×0.10) + (30×0.15) + (40×0.15) + (25×0.05) + (50×0.10) = 39 base. Plus parent inheritance bonus +5 (P1 · #1 PE-GATED) + modifier -15 = 29 total.</w:t>
            </w:r>
          </w:p>
          <w:p>
            <w:pPr>
              <w:spacing w:after="100"/>
            </w:pPr>
            <w:r>
              <w:rPr>
                <w:color w:val="3A4A5C"/>
                <w:sz w:val="19"/>
                <w:szCs w:val="19"/>
              </w:rPr>
              <w:t xml:space="preserve">Score 29 = T8 HOLD — MONITOR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Lawn Pride readiness package —</w:t>
      </w:r>
    </w:p>
    <w:p>
      <w:pPr>
        <w:spacing w:after="60" w:before="60"/>
      </w:pPr>
      <w:r>
        <w:t xml:space="preserve"/>
      </w:r>
    </w:p>
    <w:p>
      <w:pPr>
        <w:jc w:val="center"/>
      </w:pPr>
      <w:r>
        <w:rPr>
          <w:i/>
          <w:iCs/>
          <w:color w:val="6B7A8B"/>
          <w:sz w:val="15"/>
          <w:szCs w:val="15"/>
        </w:rPr>
        <w:t xml:space="preserve">Velocity GTM Co LLC  ·  Stage 2 Brand-Corp Readiness  ·  Lawn Pride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BRAND-CORP READINESS  ·  LAWN PRIDE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Lawn Pride Stage 2 Brand-Corp Readiness Package — CRM v15.6</dc:title>
  <dc:creator>Michael Montgomery Flynt Jr</dc:creator>
  <cp:lastModifiedBy>Un-named</cp:lastModifiedBy>
  <cp:revision>1</cp:revision>
  <dcterms:created xsi:type="dcterms:W3CDTF">2026-04-30T23:55:10.131Z</dcterms:created>
  <dcterms:modified xsi:type="dcterms:W3CDTF">2026-04-30T23:55:10.131Z</dcterms:modified>
</cp:coreProperties>
</file>

<file path=docProps/custom.xml><?xml version="1.0" encoding="utf-8"?>
<Properties xmlns="http://schemas.openxmlformats.org/officeDocument/2006/custom-properties" xmlns:vt="http://schemas.openxmlformats.org/officeDocument/2006/docPropsVTypes"/>
</file>