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Mosquito Joe</w:t>
      </w:r>
    </w:p>
    <w:p>
      <w:pPr>
        <w:spacing w:after="120"/>
        <w:jc w:val="center"/>
      </w:pPr>
      <w:r>
        <w:rPr>
          <w:i/>
          <w:iCs/>
          <w:color w:val="6B7A8B"/>
          <w:sz w:val="17"/>
          <w:szCs w:val="17"/>
        </w:rPr>
        <w:t xml:space="preserve">Parent: Neighborly  ·  Vertical: Pest control (mosquito + general pest)</w:t>
      </w:r>
    </w:p>
    <w:p>
      <w:pPr>
        <w:spacing w:after="120"/>
        <w:jc w:val="center"/>
      </w:pPr>
      <w:r>
        <w:rPr>
          <w:i/>
          <w:iCs/>
          <w:color w:val="6B7A8B"/>
          <w:sz w:val="17"/>
          <w:szCs w:val="17"/>
        </w:rPr>
        <w:t xml:space="preserve">V2 Score: 29  ·  Tier: T8 HOLD — MONITOR  ·  P1 · #1 · PE-GATED</w:t>
      </w:r>
    </w:p>
    <w:p>
      <w:pPr>
        <w:spacing w:after="60" w:before="60"/>
      </w:pPr>
      <w:r>
        <w:t xml:space="preserve"/>
      </w:r>
    </w:p>
    <w:tbl>
      <w:tblPr>
        <w:tblW w:type="dxa" w:w="10080"/>
        <w:tblBorders>
          <w:top w:val="single" w:color="9CA3AF" w:sz="0"/>
          <w:left w:val="single" w:color="9CA3AF" w:sz="0"/>
          <w:bottom w:val="single" w:color="9CA3AF" w:sz="0"/>
          <w:right w:val="single" w:color="9CA3AF" w:sz="0"/>
          <w:insideH w:val="single" w:color="auto" w:sz="4"/>
          <w:insideV w:val="single" w:color="auto" w:sz="4"/>
        </w:tblBorders>
      </w:tblPr>
      <w:tblGrid>
        <w:gridCol w:w="10080"/>
      </w:tblGrid>
      <w:tr>
        <w:tc>
          <w:tcPr>
            <w:tcW w:type="dxa" w:w="10080"/>
            <w:tcBorders>
              <w:top w:val="single" w:color="9CA3AF" w:sz="4"/>
              <w:left w:val="single" w:color="9CA3AF" w:sz="4"/>
              <w:bottom w:val="single" w:color="9CA3AF" w:sz="4"/>
              <w:right w:val="single" w:color="9CA3AF" w:sz="4"/>
            </w:tcBorders>
            <w:shd w:fill="9CA3AF" w:val="clear"/>
            <w:tcMar>
              <w:top w:type="dxa" w:w="180"/>
              <w:left w:type="dxa" w:w="280"/>
              <w:bottom w:type="dxa" w:w="180"/>
              <w:right w:type="dxa" w:w="280"/>
            </w:tcMar>
            <w:vAlign w:val="center"/>
          </w:tcPr>
          <w:p>
            <w:pPr>
              <w:jc w:val="center"/>
            </w:pPr>
            <w:r>
              <w:rPr>
                <w:b/>
                <w:bCs/>
                <w:color w:val="FFFFFF"/>
                <w:spacing w:val="80"/>
                <w:sz w:val="26"/>
                <w:szCs w:val="26"/>
              </w:rPr>
              <w:t xml:space="preserve">⚪  T8 NOT FSM SCOPE</w:t>
            </w:r>
          </w:p>
        </w:tc>
      </w:tr>
    </w:tbl>
    <w:p>
      <w:pPr>
        <w:spacing w:after="120" w:before="120"/>
      </w:pPr>
      <w:r>
        <w:t xml:space="preserve"/>
      </w:r>
    </w:p>
    <w:p>
      <w:pPr>
        <w:spacing w:after="120" w:before="240"/>
      </w:pPr>
      <w:r>
        <w:rPr>
          <w:b/>
          <w:bCs/>
          <w:color w:val="1A2B3C"/>
          <w:sz w:val="28"/>
          <w:szCs w:val="28"/>
        </w:rPr>
        <w:t xml:space="preserve">My read on Mosquito Joe</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Mosquito Joe scores low within Neighborly engageable set</w:t>
            </w:r>
          </w:p>
          <w:p>
            <w:pPr>
              <w:spacing w:after="100"/>
            </w:pPr>
            <w:r>
              <w:rPr>
                <w:color w:val="3A4A5C"/>
                <w:sz w:val="19"/>
                <w:szCs w:val="19"/>
              </w:rPr>
              <w:t xml:space="preserve">Mosquito Joe scored 29 — placing it in T8 within the Neighborly engageable set. The combined low score reflects: FieldRoutes/ST unconfirmed mandate flag, larger but distributed network, lower vertical fit, PE-gated engagement constraints.</w:t>
            </w:r>
          </w:p>
          <w:p>
            <w:pPr>
              <w:spacing w:after="100"/>
            </w:pPr>
            <w:r>
              <w:rPr>
                <w:color w:val="3A4A5C"/>
                <w:sz w:val="19"/>
                <w:szCs w:val="19"/>
              </w:rPr>
              <w:t xml:space="preserve">Per CRM v15.6, Mosquito Joe is approximately 400 locations × 3 techs/loc = 1,200 techs. Documented here for completeness in the Neighborly engageable readiness portfolio. T8 placement matches monitor-mode posture.</w:t>
            </w:r>
          </w:p>
          <w:p>
            <w:pPr>
              <w:spacing w:after="100"/>
            </w:pPr>
            <w:r>
              <w:rPr>
                <w:color w:val="3A4A5C"/>
                <w:sz w:val="19"/>
                <w:szCs w:val="19"/>
              </w:rPr>
              <w:t xml:space="preserve">Strategic frame: monitor-mode unless coordinated PE-gated engagement at higher-priority Neighborly brands creates an opening. ⚠️ PE-GATED: Neighborly engagement is multi-year strategic via Charles → Accel-KKR → KKR warm path. Direct outreach to brand corp is DISCOURAGED — brand-level engagement should be coordinated through parent franchisor PE relationship pathway.</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Low-tier within Neighborly engageable set. Monitor mode, not active engagement.</w:t>
      </w:r>
    </w:p>
    <w:p>
      <w:pPr>
        <w:pStyle w:val="ListParagraph"/>
        <w:numPr>
          <w:ilvl w:val="0"/>
          <w:numId w:val="2"/>
        </w:numPr>
        <w:spacing w:after="80"/>
      </w:pPr>
      <w:r>
        <w:rPr>
          <w:color w:val="3A4A5C"/>
          <w:sz w:val="19"/>
          <w:szCs w:val="19"/>
        </w:rPr>
        <w:t xml:space="preserve">Coordinate with higher-priority Neighborly brands' engagement timing. Don't approach independently.</w:t>
      </w:r>
    </w:p>
    <w:p>
      <w:pPr>
        <w:pStyle w:val="ListParagraph"/>
        <w:numPr>
          <w:ilvl w:val="0"/>
          <w:numId w:val="2"/>
        </w:numPr>
        <w:spacing w:after="80"/>
      </w:pPr>
      <w:r>
        <w:rPr>
          <w:color w:val="3A4A5C"/>
          <w:sz w:val="19"/>
          <w:szCs w:val="19"/>
        </w:rPr>
        <w:t xml:space="preserve">1,200 techs at $36,000 Y1@10% — modest revenue ceiling.</w:t>
      </w:r>
    </w:p>
    <w:p>
      <w:pPr>
        <w:pStyle w:val="ListParagraph"/>
        <w:numPr>
          <w:ilvl w:val="0"/>
          <w:numId w:val="2"/>
        </w:numPr>
        <w:spacing w:after="80"/>
      </w:pPr>
      <w:r>
        <w:rPr>
          <w:color w:val="3A4A5C"/>
          <w:sz w:val="19"/>
          <w:szCs w:val="19"/>
        </w:rPr>
        <w:t xml:space="preserve">Coordinate with Mosquito Joe (non-ST) carve-out engagement.</w:t>
      </w:r>
    </w:p>
    <w:p>
      <w:pPr>
        <w:pStyle w:val="ListParagraph"/>
        <w:numPr>
          <w:ilvl w:val="0"/>
          <w:numId w:val="2"/>
        </w:numPr>
        <w:spacing w:after="80"/>
      </w:pPr>
      <w:r>
        <w:rPr>
          <w:color w:val="3A4A5C"/>
          <w:sz w:val="19"/>
          <w:szCs w:val="19"/>
        </w:rPr>
        <w:t xml:space="preserve">FieldRoutes is the suspected incumbent for the broader brand.</w:t>
      </w:r>
    </w:p>
    <w:p>
      <w:pPr>
        <w:pStyle w:val="ListParagraph"/>
        <w:numPr>
          <w:ilvl w:val="0"/>
          <w:numId w:val="2"/>
        </w:numPr>
        <w:spacing w:after="80"/>
      </w:pPr>
      <w:r>
        <w:rPr>
          <w:color w:val="3A4A5C"/>
          <w:sz w:val="19"/>
          <w:szCs w:val="19"/>
        </w:rPr>
        <w:t xml:space="preserve">Documented for portfolio completeness. Reactivate readiness when PE-gated engagement opens broader Neighborly door.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KKR (active investor, exit window 2026-27)</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KKR portfolio · Neighborly press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P1 · #1 · PE-GATED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Pest control (mosquito + general pest)</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Brand site / Neighborly</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400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1,200 (~3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likely very low</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database query</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Mosquito Joe brand leadership (TBD specific name)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Gagan Sinha CIO at Neighborly portfolio level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Neighborly press · LinkedIn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Likely QuickBooks-mixed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Pest control (mosquito + general pest) vertical pattern</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Likely Smart Fleet USA preferred (Neighborly portfolio standard)</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HYPOTHESIS</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Smart Fleet USA partnership confirmed</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Neighborly portfolio-level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Neighborly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residential consumer + light commercial pest control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Mosquito Joe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Moderate — within Neighborly portfolio architecture</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Neighborly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MOSQUITO JOE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VARIES — brand-specific (see vertical fit row)</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Greenfield bump applies where no FSM mandate. Within Neighborly, only specific brands and non-ST locations qualify.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Mixed — Neighborly franchisees range across QB, brand-specific tools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portfolio doesn't standardize accounting stack. Per-brand validation required.</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consumer — Neighborly is consumer-led portfolio</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Consumer-led brands favor reviews/SEO/local marketing. Recurring-billing ROI math still applies for routes.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GPO / buying group membership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Neighborly portfolio-level (no separate brand GPO)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access portfolio-level vendor agreements. Brand-corp endorsement gated on parent franchisor approval.</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Pest control — moderate SB fit (recurring routes, customer billing)</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Pest is moderate fit. Lower dispatch density than HVAC/plumbing.</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400 locs / 1,200 techs</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Modest scale within Neighborly engageable 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coordination required. Local trade-press still relevant for franchisee recruitment.</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Multi-unit operator density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TBD — research gap</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Neighborly franchisees often multi-brand operators (own franchises across portfolio). Density unlocks portfolio-level conversations.</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GPSI customer overlap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Likely Smart Fleet USA preferred (Neighborly standard)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Highest weight on warm-path scoring. Neighborly's preferred telematics is Smart Fleet USA (Azuga platform) — hard conflict flag for any GPSI-led approach.</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FieldRoutes/ST flagged in CRM (unconfirmed mandate); MIXED at brand-corp level</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FieldRoutes (ST-owned) likely competitive incumbent. Mosquito Joe (non-ST) carve-out is the engageable subset.</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Recent leadership changes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Gagan Sinha CIO (Sept 2025) — primary FSM decision-maker, still forming roadmap</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CIO transition creates open-roadmap opportunity but PE-gated engagement constraint applies.</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Public visibility / engagement signals</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Moderate — established brand within Neighborly portfolio</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Warm-path / parent-franchisor route dominates. Direct outreach gated on PE pathway.</w:t>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Mosquito Joe's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PRIMARY PATH. Charles → Accel-KKR → KKR warm path is the dominant engagement channel for any Neighborly brand. Felix Gernburd + David Brandon at KKR are the warm-intro path Charles holds. Gagan Sinha CIO (joined Sept 2025 from Bloomin' Brands) is the primary FSM decision-maker at Neighborly — coordinate any Sinha conversation through the KKR pathway. GPSI overlap query at Neighborly is likely partial; Smart Fleet USA is Neighborly's preferred telematics — direct GPSI-led approaches face conflict flag.</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CEBEB" w:val="clear"/>
            <w:tcMar>
              <w:top w:type="dxa" w:w="120"/>
              <w:left w:type="dxa" w:w="160"/>
              <w:bottom w:type="dxa" w:w="120"/>
              <w:right w:type="dxa" w:w="160"/>
            </w:tcMar>
            <w:vAlign w:val="center"/>
          </w:tcPr>
          <w:p>
            <w:pPr>
              <w:jc w:val="center"/>
            </w:pPr>
            <w:r>
              <w:rPr>
                <w:b/>
                <w:bCs/>
                <w:color w:val="8B0000"/>
                <w:spacing w:val="40"/>
                <w:sz w:val="18"/>
                <w:szCs w:val="18"/>
              </w:rPr>
              <w:t xml:space="preserve">LOW</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 PE-GATED — DIRECT OUTREACH DISCOURAGED. Neighborly brand-corp leadership accessible via LinkedIn but direct cold outreach risks fragmenting the strategic PE-gated approach. Reserved for AFTER warm path establishes preliminary brand-corp interest. Independent direct outreach to Neighborly brand presidents without coordination through Charles/KKR pathway is OUT of scope.</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Pest control (mosquito + general pest) vertical trade publications. Joint thought leadership with parent Neighborly content (Bidwell legacy stories carefully handled, Mike Bidwell's passing Sept 2023 sensitive context). Franchise vertical: Franchise Times, Entrepreneur Franchise 500. Parent franchisor narrative dominates over brand-corp specifics.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hosts portfolio-wide franchisee events (Reunion, regional summits) — high-leverage venues but require Neighborly-level coordination. Pest control (mosquito + general pest) industry events. Franchise: IFA Annual Convention. America 250 letter campaign reaches Neighborly portfolio — coordinate brand-corp specific reinforcement through parent channel.</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Neighborly executive content (Mike Hay CEO, Gagan Sinha CIO) is the primary engagement target — amplifying parent-franchisor thought leadership warms the portfolio path. Brand-specific brand-corp social presence likely modest. Use parent narrative as the inbound surface.</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MOSQUITO JOE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$5K</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Modest dispatch + billing capture for vertical</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(Mosquito Joe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$6.0M / yr</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~1,200 techs × $5K</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$360K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Neighborly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$36K</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120 techs × $300/tech/yr SB pricing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30-day pilot, 90-day full deployment</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Standard SB onboarding · PE-gated coordination adds upstream timeline</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brand-led FSM via PE-gated pathway formalizes platform choice for Mosquito Joe franchisees.</w:t>
      </w:r>
    </w:p>
    <w:p>
      <w:pPr>
        <w:pStyle w:val="ListParagraph"/>
        <w:numPr>
          <w:ilvl w:val="0"/>
          <w:numId w:val="2"/>
        </w:numPr>
        <w:spacing w:after="80"/>
      </w:pPr>
      <w:r>
        <w:rPr>
          <w:color w:val="3A4A5C"/>
          <w:sz w:val="19"/>
          <w:szCs w:val="19"/>
        </w:rPr>
        <w:t xml:space="preserve">Franchisee recruitment: Neighborly portfolio brand-promise inclusion lifts recruitment yield.</w:t>
      </w:r>
    </w:p>
    <w:p>
      <w:pPr>
        <w:pStyle w:val="ListParagraph"/>
        <w:numPr>
          <w:ilvl w:val="0"/>
          <w:numId w:val="2"/>
        </w:numPr>
        <w:spacing w:after="80"/>
      </w:pPr>
      <w:r>
        <w:rPr>
          <w:color w:val="3A4A5C"/>
          <w:sz w:val="19"/>
          <w:szCs w:val="19"/>
        </w:rPr>
        <w:t xml:space="preserve">Reporting visibility: Neighborly gains brand-corp visibility into Mosquito Joe franchisee operations through standardized FSM data.</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Brand-corp commitments at Mosquito Joe are a small contributor to Neighborly portfolio narrative. Coordinated engagement across Neighborly engageable brands builds the portfolio adoption pattern that bridges to KKR pre-exit narrative. Internal; not foregrounded.</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Mosquito Joe FSM posture: MIXED (FieldRoutes/ST flag unconfirmed)</w:t>
            </w:r>
          </w:p>
          <w:p>
            <w:pPr>
              <w:spacing w:after="100"/>
            </w:pPr>
            <w:r>
              <w:rPr>
                <w:color w:val="3A4A5C"/>
                <w:sz w:val="19"/>
                <w:szCs w:val="19"/>
              </w:rPr>
              <w:t xml:space="preserve">Mosquito Joe operates in MIXED posture — FieldRoutes/ST suspected but mandate unconfirmed.</w:t>
            </w:r>
          </w:p>
          <w:p>
            <w:pPr>
              <w:spacing w:after="100"/>
            </w:pPr>
            <w:r>
              <w:rPr>
                <w:color w:val="3A4A5C"/>
                <w:sz w:val="19"/>
                <w:szCs w:val="19"/>
              </w:rPr>
              <w:t xml:space="preserve">Generalized framework: brand corps split into four FSM postures. Mosquito Joe = MIXED with unconfirmed FieldRoutes/ST flag.</w:t>
            </w:r>
          </w:p>
          <w:p>
            <w:pPr>
              <w:spacing w:after="100"/>
            </w:pPr>
            <w:r>
              <w:rPr>
                <w:color w:val="3A4A5C"/>
                <w:sz w:val="19"/>
                <w:szCs w:val="19"/>
              </w:rPr>
              <w:t xml:space="preserve">Engageable subset (Mosquito Joe non-ST) exists separately and is documented in its own readiness package.</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Mosquito Joe</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Mosquito Joe dimension scores: Greenfield 35/100, Network 35/100, PE 90/100, DM Access 30/100, Urgency 40/100, Displacement 25/100, C/B Mix 60/100.</w:t>
            </w:r>
          </w:p>
          <w:p>
            <w:pPr>
              <w:spacing w:after="100"/>
            </w:pPr>
            <w:r>
              <w:rPr>
                <w:color w:val="3A4A5C"/>
                <w:sz w:val="19"/>
                <w:szCs w:val="19"/>
              </w:rPr>
              <w:t xml:space="preserve">Weighted base score: (35×0.30) + (35×0.15) + (90×0.10) + (30×0.15) + (40×0.15) + (25×0.05) + (60×0.10) = 42 base. Plus parent inheritance bonus +5 (P1 · #1 PE-GATED) + modifier -18 = 29 total.</w:t>
            </w:r>
          </w:p>
          <w:p>
            <w:pPr>
              <w:spacing w:after="100"/>
            </w:pPr>
            <w:r>
              <w:rPr>
                <w:color w:val="3A4A5C"/>
                <w:sz w:val="19"/>
                <w:szCs w:val="19"/>
              </w:rPr>
              <w:t xml:space="preserve">Score 29 = T8 HOLD — MONITOR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Mosquito Joe readiness package —</w:t>
      </w:r>
    </w:p>
    <w:p>
      <w:pPr>
        <w:spacing w:after="60" w:before="60"/>
      </w:pPr>
      <w:r>
        <w:t xml:space="preserve"/>
      </w:r>
    </w:p>
    <w:p>
      <w:pPr>
        <w:jc w:val="center"/>
      </w:pPr>
      <w:r>
        <w:rPr>
          <w:i/>
          <w:iCs/>
          <w:color w:val="6B7A8B"/>
          <w:sz w:val="15"/>
          <w:szCs w:val="15"/>
        </w:rPr>
        <w:t xml:space="preserve">Velocity GTM Co LLC  ·  Stage 2 Brand-Corp Readiness  ·  Mosquito Joe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BRAND-CORP READINESS  ·  MOSQUITO JOE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Mosquito Joe Stage 2 Brand-Corp Readiness Package — CRM v15.6</dc:title>
  <dc:creator>Michael Montgomery Flynt Jr</dc:creator>
  <cp:lastModifiedBy>Un-named</cp:lastModifiedBy>
  <cp:revision>1</cp:revision>
  <dcterms:created xsi:type="dcterms:W3CDTF">2026-04-30T23:55:10.169Z</dcterms:created>
  <dcterms:modified xsi:type="dcterms:W3CDTF">2026-04-30T23:55:10.169Z</dcterms:modified>
</cp:coreProperties>
</file>

<file path=docProps/custom.xml><?xml version="1.0" encoding="utf-8"?>
<Properties xmlns="http://schemas.openxmlformats.org/officeDocument/2006/custom-properties" xmlns:vt="http://schemas.openxmlformats.org/officeDocument/2006/docPropsVTypes"/>
</file>