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40"/>
        <w:jc w:val="center"/>
      </w:pPr>
      <w:r>
        <w:rPr>
          <w:b/>
          <w:bCs/>
          <w:color w:val="1A2B3C"/>
          <w:sz w:val="36"/>
          <w:szCs w:val="36"/>
        </w:rPr>
        <w:t xml:space="preserve">Stage 2 · Brand-Corp Readiness</w:t>
      </w:r>
    </w:p>
    <w:p>
      <w:pPr>
        <w:spacing w:after="80"/>
        <w:jc w:val="center"/>
      </w:pPr>
      <w:r>
        <w:rPr>
          <w:b/>
          <w:bCs/>
          <w:color w:val="185FA5"/>
          <w:sz w:val="22"/>
          <w:szCs w:val="22"/>
        </w:rPr>
        <w:t xml:space="preserve">Mosquito Joe (non-ST)</w:t>
      </w:r>
    </w:p>
    <w:p>
      <w:pPr>
        <w:spacing w:after="120"/>
        <w:jc w:val="center"/>
      </w:pPr>
      <w:r>
        <w:rPr>
          <w:i/>
          <w:iCs/>
          <w:color w:val="6B7A8B"/>
          <w:sz w:val="17"/>
          <w:szCs w:val="17"/>
        </w:rPr>
        <w:t xml:space="preserve">Parent: Neighborly  ·  Vertical: Pest control — non-FieldRoutes/ST locations only</w:t>
      </w:r>
    </w:p>
    <w:p>
      <w:pPr>
        <w:spacing w:after="120"/>
        <w:jc w:val="center"/>
      </w:pPr>
      <w:r>
        <w:rPr>
          <w:i/>
          <w:iCs/>
          <w:color w:val="6B7A8B"/>
          <w:sz w:val="17"/>
          <w:szCs w:val="17"/>
        </w:rPr>
        <w:t xml:space="preserve">V2 Score: 49  ·  Tier: T7 HOLD — MONITOR  ·  P1 · #1 · PE-GATED</w:t>
      </w:r>
    </w:p>
    <w:p>
      <w:pPr>
        <w:spacing w:after="60" w:before="60"/>
      </w:pPr>
      <w:r>
        <w:t xml:space="preserve"/>
      </w:r>
    </w:p>
    <w:tbl>
      <w:tblPr>
        <w:tblW w:type="dxa" w:w="10080"/>
        <w:tblBorders>
          <w:top w:val="single" w:color="6B7A8B" w:sz="0"/>
          <w:left w:val="single" w:color="6B7A8B" w:sz="0"/>
          <w:bottom w:val="single" w:color="6B7A8B" w:sz="0"/>
          <w:right w:val="single" w:color="6B7A8B" w:sz="0"/>
          <w:insideH w:val="single" w:color="auto" w:sz="4"/>
          <w:insideV w:val="single" w:color="auto" w:sz="4"/>
        </w:tblBorders>
      </w:tblPr>
      <w:tblGrid>
        <w:gridCol w:w="10080"/>
      </w:tblGrid>
      <w:tr>
        <w:tc>
          <w:tcPr>
            <w:tcW w:type="dxa" w:w="10080"/>
            <w:tcBorders>
              <w:top w:val="single" w:color="6B7A8B" w:sz="4"/>
              <w:left w:val="single" w:color="6B7A8B" w:sz="4"/>
              <w:bottom w:val="single" w:color="6B7A8B" w:sz="4"/>
              <w:right w:val="single" w:color="6B7A8B" w:sz="4"/>
            </w:tcBorders>
            <w:shd w:fill="6B7A8B" w:val="clear"/>
            <w:tcMar>
              <w:top w:type="dxa" w:w="180"/>
              <w:left w:type="dxa" w:w="280"/>
              <w:bottom w:type="dxa" w:w="180"/>
              <w:right w:type="dxa" w:w="280"/>
            </w:tcMar>
            <w:vAlign w:val="center"/>
          </w:tcPr>
          <w:p>
            <w:pPr>
              <w:jc w:val="center"/>
            </w:pPr>
            <w:r>
              <w:rPr>
                <w:b/>
                <w:bCs/>
                <w:color w:val="FFFFFF"/>
                <w:spacing w:val="80"/>
                <w:sz w:val="26"/>
                <w:szCs w:val="26"/>
              </w:rPr>
              <w:t xml:space="preserve">⚪  T7 HOLD — MONITOR</w:t>
            </w:r>
          </w:p>
        </w:tc>
      </w:tr>
    </w:tbl>
    <w:p>
      <w:pPr>
        <w:spacing w:after="120" w:before="120"/>
      </w:pPr>
      <w:r>
        <w:t xml:space="preserve"/>
      </w:r>
    </w:p>
    <w:p>
      <w:pPr>
        <w:spacing w:after="120" w:before="240"/>
      </w:pPr>
      <w:r>
        <w:rPr>
          <w:b/>
          <w:bCs/>
          <w:color w:val="1A2B3C"/>
          <w:sz w:val="28"/>
          <w:szCs w:val="28"/>
        </w:rPr>
        <w:t xml:space="preserve">My read on Mosquito Joe (non-ST)</w:t>
      </w:r>
    </w:p>
    <w:tbl>
      <w:tblPr>
        <w:tblW w:type="dxa" w:w="10080"/>
        <w:tblBorders>
          <w:top w:val="single" w:color="E8D89C" w:sz="6"/>
          <w:left w:val="single" w:color="E8D89C" w:sz="6"/>
          <w:bottom w:val="single" w:color="E8D89C" w:sz="6"/>
          <w:right w:val="single" w:color="E8D89C" w:sz="6"/>
          <w:insideH w:val="single" w:color="auto" w:sz="4"/>
          <w:insideV w:val="single" w:color="auto" w:sz="4"/>
        </w:tblBorders>
      </w:tblPr>
      <w:tblGrid>
        <w:gridCol w:w="10080"/>
      </w:tblGrid>
      <w:tr>
        <w:tc>
          <w:tcPr>
            <w:tcW w:type="dxa" w:w="10080"/>
            <w:shd w:fill="FBF4E0" w:val="clear"/>
            <w:tcMar>
              <w:top w:type="dxa" w:w="200"/>
              <w:left w:type="dxa" w:w="280"/>
              <w:bottom w:type="dxa" w:w="200"/>
              <w:right w:type="dxa" w:w="280"/>
            </w:tcMar>
          </w:tcPr>
          <w:p>
            <w:pPr>
              <w:spacing w:after="100"/>
            </w:pPr>
            <w:r>
              <w:rPr>
                <w:b/>
                <w:bCs/>
                <w:color w:val="1A2B3C"/>
                <w:sz w:val="22"/>
                <w:szCs w:val="22"/>
              </w:rPr>
              <w:t xml:space="preserve">Why Mosquito Joe (non-ST) is small-footprint within Neighborly engageable set</w:t>
            </w:r>
          </w:p>
          <w:p>
            <w:pPr>
              <w:spacing w:after="100"/>
            </w:pPr>
            <w:r>
              <w:rPr>
                <w:color w:val="3A4A5C"/>
                <w:sz w:val="19"/>
                <w:szCs w:val="19"/>
              </w:rPr>
              <w:t xml:space="preserve">Mosquito Joe (non-ST) represents the carve-out subset of Mosquito Joe operating outside FieldRoutes/ServiceTitan tooling. The mandate status on the broader Mosquito Joe brand is unconfirmed at the formal-mandate level — the CRM flags FieldRoutes/ST as the platform but our 'confirmed competitive FSM mandate' rule doesn't trigger here yet. Per CRM v15.6, this engageable subset is approximately 80 locations × 3 techs/loc = 240 techs.</w:t>
            </w:r>
          </w:p>
          <w:p>
            <w:pPr>
              <w:spacing w:after="100"/>
            </w:pPr>
            <w:r>
              <w:rPr>
                <w:color w:val="3A4A5C"/>
                <w:sz w:val="19"/>
                <w:szCs w:val="19"/>
              </w:rPr>
              <w:t xml:space="preserve">Score 49 reflects the structural reality: small subset, lower-tier vertical fit (pest control is solid but not as dispatch-intensive as plumbing or HVAC), and PE-gated engagement constraints. T7 placement matches — this is monitor-mode, not active engagement.</w:t>
            </w:r>
          </w:p>
          <w:p>
            <w:pPr>
              <w:spacing w:after="100"/>
            </w:pPr>
            <w:r>
              <w:rPr>
                <w:color w:val="3A4A5C"/>
                <w:sz w:val="19"/>
                <w:szCs w:val="19"/>
              </w:rPr>
              <w:t xml:space="preserve">Strategic frame: Mosquito Joe (non-ST) is the third leg of the Neighborly non-ST coordinated engagement set (alongside Aire Serv non-ST and Mr. Electric non-ST). Lower priority by tech count and vertical fit, but worth documenting for completeness in the brand-corp readiness portfolio. ⚠️ PE-GATED: Neighborly engagement is multi-year strategic via Charles → Accel-KKR → KKR warm path. Direct outreach to brand corp is DISCOURAGED — brand-level engagement should be coordinated through parent franchisor PE relationship pathway.</w:t>
            </w:r>
          </w:p>
        </w:tc>
      </w:tr>
    </w:tbl>
    <w:p>
      <w:pPr>
        <w:spacing w:after="120" w:before="120"/>
      </w:pPr>
      <w:r>
        <w:t xml:space="preserve"/>
      </w:r>
    </w:p>
    <w:p>
      <w:pPr>
        <w:spacing w:after="120" w:before="240"/>
      </w:pPr>
      <w:r>
        <w:rPr>
          <w:b/>
          <w:bCs/>
          <w:color w:val="1A2B3C"/>
          <w:sz w:val="28"/>
          <w:szCs w:val="28"/>
        </w:rPr>
        <w:t xml:space="preserve">Where this teaches us to land it</w:t>
      </w:r>
    </w:p>
    <w:p>
      <w:pPr>
        <w:pStyle w:val="ListParagraph"/>
        <w:numPr>
          <w:ilvl w:val="0"/>
          <w:numId w:val="2"/>
        </w:numPr>
        <w:spacing w:after="80"/>
      </w:pPr>
      <w:r>
        <w:rPr>
          <w:color w:val="3A4A5C"/>
          <w:sz w:val="19"/>
          <w:szCs w:val="19"/>
        </w:rPr>
        <w:t xml:space="preserve">FieldRoutes/ST flag is unconfirmed at the brand-corp mandate level — keep counting as engageable until verified.</w:t>
      </w:r>
    </w:p>
    <w:p>
      <w:pPr>
        <w:pStyle w:val="ListParagraph"/>
        <w:numPr>
          <w:ilvl w:val="0"/>
          <w:numId w:val="2"/>
        </w:numPr>
        <w:spacing w:after="80"/>
      </w:pPr>
      <w:r>
        <w:rPr>
          <w:color w:val="3A4A5C"/>
          <w:sz w:val="19"/>
          <w:szCs w:val="19"/>
        </w:rPr>
        <w:t xml:space="preserve">Pest control vertical is moderate SB fit — recurring routes and customer billing align well, but dispatch density lower than plumbing/HVAC.</w:t>
      </w:r>
    </w:p>
    <w:p>
      <w:pPr>
        <w:pStyle w:val="ListParagraph"/>
        <w:numPr>
          <w:ilvl w:val="0"/>
          <w:numId w:val="2"/>
        </w:numPr>
        <w:spacing w:after="80"/>
      </w:pPr>
      <w:r>
        <w:rPr>
          <w:color w:val="3A4A5C"/>
          <w:sz w:val="19"/>
          <w:szCs w:val="19"/>
        </w:rPr>
        <w:t xml:space="preserve">Smallest of the Neighborly non-ST subset by tech count (~240 techs). Y1@10% modest at $7,200.</w:t>
      </w:r>
    </w:p>
    <w:p>
      <w:pPr>
        <w:pStyle w:val="ListParagraph"/>
        <w:numPr>
          <w:ilvl w:val="0"/>
          <w:numId w:val="2"/>
        </w:numPr>
        <w:spacing w:after="80"/>
      </w:pPr>
      <w:r>
        <w:rPr>
          <w:color w:val="3A4A5C"/>
          <w:sz w:val="19"/>
          <w:szCs w:val="19"/>
        </w:rPr>
        <w:t xml:space="preserve">Coordinated engagement with Aire Serv + Mr. Electric (non-ST) brand corps — same constraints, same approach, same parent.</w:t>
      </w:r>
    </w:p>
    <w:p>
      <w:pPr>
        <w:pStyle w:val="ListParagraph"/>
        <w:numPr>
          <w:ilvl w:val="0"/>
          <w:numId w:val="2"/>
        </w:numPr>
        <w:spacing w:after="80"/>
      </w:pPr>
      <w:r>
        <w:rPr>
          <w:color w:val="3A4A5C"/>
          <w:sz w:val="19"/>
          <w:szCs w:val="19"/>
        </w:rPr>
        <w:t xml:space="preserve">Monitor mode unless PE-gated engagement opens broader Neighborly door.</w:t>
      </w:r>
    </w:p>
    <w:p>
      <w:pPr>
        <w:spacing w:after="120" w:before="120"/>
      </w:pPr>
      <w:r>
        <w:t xml:space="preserve"/>
      </w:r>
    </w:p>
    <w:p>
      <w:pPr>
        <w:spacing w:after="120" w:before="240"/>
      </w:pPr>
      <w:r>
        <w:rPr>
          <w:b/>
          <w:bCs/>
          <w:color w:val="1A2B3C"/>
          <w:sz w:val="28"/>
          <w:szCs w:val="28"/>
        </w:rPr>
        <w:t xml:space="preserve">📊  What we know — with sources</w:t>
      </w:r>
    </w:p>
    <w:p>
      <w:pPr>
        <w:spacing w:after="120"/>
      </w:pPr>
      <w:r>
        <w:rPr>
          <w:color w:val="3A4A5C"/>
          <w:sz w:val="19"/>
          <w:szCs w:val="19"/>
        </w:rPr>
        <w:t xml:space="preserve">Verified data points and intel gaps. This is the section to populate first as we close gaps with Andrea's team and GPSI database queries.</w:t>
      </w:r>
    </w:p>
    <w:p>
      <w:pPr>
        <w:spacing w:after="8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2900"/>
        <w:gridCol w:w="1500"/>
        <w:gridCol w:w="1900"/>
        <w:gridCol w:w="780"/>
      </w:tblGrid>
      <w:tr>
        <w:trPr>
          <w:tblHeader/>
        </w:trPr>
        <w:tc>
          <w:tcPr>
            <w:tcW w:type="dxa" w:w="3000"/>
            <w:tcBorders>
              <w:top w:val="single" w:color="1A2B3C" w:sz="4"/>
              <w:left w:val="single" w:color="1A2B3C" w:sz="4"/>
              <w:bottom w:val="single" w:color="1A2B3C" w:sz="4"/>
              <w:right w:val="single" w:color="1A2B3C" w:sz="4"/>
            </w:tcBorders>
            <w:shd w:fill="1A2B3C" w:val="clear"/>
            <w:tcMar>
              <w:top w:type="dxa" w:w="70"/>
              <w:left w:type="dxa" w:w="100"/>
              <w:bottom w:type="dxa" w:w="70"/>
              <w:right w:type="dxa" w:w="100"/>
            </w:tcMar>
            <w:vAlign w:val="center"/>
          </w:tcPr>
          <w:p>
            <w:r>
              <w:rPr>
                <w:b/>
                <w:bCs/>
                <w:color w:val="FFFFFF"/>
                <w:spacing w:val="30"/>
                <w:sz w:val="13"/>
                <w:szCs w:val="13"/>
              </w:rPr>
              <w:t xml:space="preserve">DATA POINT</w:t>
            </w:r>
          </w:p>
        </w:tc>
        <w:tc>
          <w:tcPr>
            <w:tcW w:type="dxa" w:w="2900"/>
            <w:tcBorders>
              <w:top w:val="single" w:color="1A2B3C" w:sz="4"/>
              <w:left w:val="single" w:color="1A2B3C" w:sz="4"/>
              <w:bottom w:val="single" w:color="1A2B3C" w:sz="4"/>
              <w:right w:val="single" w:color="1A2B3C" w:sz="4"/>
            </w:tcBorders>
            <w:shd w:fill="1A2B3C" w:val="clear"/>
            <w:tcMar>
              <w:top w:type="dxa" w:w="70"/>
              <w:left w:type="dxa" w:w="100"/>
              <w:bottom w:type="dxa" w:w="70"/>
              <w:right w:type="dxa" w:w="100"/>
            </w:tcMar>
            <w:vAlign w:val="center"/>
          </w:tcPr>
          <w:p>
            <w:r>
              <w:rPr>
                <w:b/>
                <w:bCs/>
                <w:color w:val="FFFFFF"/>
                <w:spacing w:val="30"/>
                <w:sz w:val="13"/>
                <w:szCs w:val="13"/>
              </w:rPr>
              <w:t xml:space="preserve">VALUE</w:t>
            </w:r>
          </w:p>
        </w:tc>
        <w:tc>
          <w:tcPr>
            <w:tcW w:type="dxa" w:w="1500"/>
            <w:tcBorders>
              <w:top w:val="single" w:color="1A2B3C" w:sz="4"/>
              <w:left w:val="single" w:color="1A2B3C" w:sz="4"/>
              <w:bottom w:val="single" w:color="1A2B3C" w:sz="4"/>
              <w:right w:val="single" w:color="1A2B3C" w:sz="4"/>
            </w:tcBorders>
            <w:shd w:fill="1A2B3C" w:val="clear"/>
            <w:tcMar>
              <w:top w:type="dxa" w:w="70"/>
              <w:left w:type="dxa" w:w="100"/>
              <w:bottom w:type="dxa" w:w="70"/>
              <w:right w:type="dxa" w:w="100"/>
            </w:tcMar>
            <w:vAlign w:val="center"/>
          </w:tcPr>
          <w:p>
            <w:r>
              <w:rPr>
                <w:b/>
                <w:bCs/>
                <w:color w:val="FFFFFF"/>
                <w:spacing w:val="30"/>
                <w:sz w:val="13"/>
                <w:szCs w:val="13"/>
              </w:rPr>
              <w:t xml:space="preserve">CONFIDENCE</w:t>
            </w:r>
          </w:p>
        </w:tc>
        <w:tc>
          <w:tcPr>
            <w:tcW w:type="dxa" w:w="1900"/>
            <w:tcBorders>
              <w:top w:val="single" w:color="1A2B3C" w:sz="4"/>
              <w:left w:val="single" w:color="1A2B3C" w:sz="4"/>
              <w:bottom w:val="single" w:color="1A2B3C" w:sz="4"/>
              <w:right w:val="single" w:color="1A2B3C" w:sz="4"/>
            </w:tcBorders>
            <w:shd w:fill="1A2B3C" w:val="clear"/>
            <w:tcMar>
              <w:top w:type="dxa" w:w="70"/>
              <w:left w:type="dxa" w:w="100"/>
              <w:bottom w:type="dxa" w:w="70"/>
              <w:right w:type="dxa" w:w="100"/>
            </w:tcMar>
            <w:vAlign w:val="center"/>
          </w:tcPr>
          <w:p>
            <w:r>
              <w:rPr>
                <w:b/>
                <w:bCs/>
                <w:color w:val="FFFFFF"/>
                <w:spacing w:val="30"/>
                <w:sz w:val="13"/>
                <w:szCs w:val="13"/>
              </w:rPr>
              <w:t xml:space="preserve">SOURCE</w:t>
            </w:r>
          </w:p>
        </w:tc>
        <w:tc>
          <w:tcPr>
            <w:tcW w:type="dxa" w:w="780"/>
            <w:tcBorders>
              <w:top w:val="single" w:color="1A2B3C" w:sz="4"/>
              <w:left w:val="single" w:color="1A2B3C" w:sz="4"/>
              <w:bottom w:val="single" w:color="1A2B3C" w:sz="4"/>
              <w:right w:val="single" w:color="1A2B3C" w:sz="4"/>
            </w:tcBorders>
            <w:shd w:fill="1A2B3C" w:val="clear"/>
            <w:tcMar>
              <w:top w:type="dxa" w:w="70"/>
              <w:left w:type="dxa" w:w="100"/>
              <w:bottom w:type="dxa" w:w="70"/>
              <w:right w:type="dxa" w:w="100"/>
            </w:tcMar>
            <w:vAlign w:val="center"/>
          </w:tcPr>
          <w:p>
            <w:r>
              <w:rPr>
                <w:b/>
                <w:bCs/>
                <w:color w:val="FFFFFF"/>
                <w:spacing w:val="30"/>
                <w:sz w:val="13"/>
                <w:szCs w:val="13"/>
              </w:rPr>
              <w:t xml:space="preserve">VERIFIED</w:t>
            </w:r>
          </w:p>
        </w:tc>
      </w:tr>
      <w:tr>
        <w:trPr>
          <w:cantSplit/>
        </w:trPr>
        <w:tc>
          <w:tcPr>
            <w:tcW w:type="dxa" w:w="30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1A2B3C"/>
                <w:sz w:val="16"/>
                <w:szCs w:val="16"/>
              </w:rPr>
              <w:t xml:space="preserve">Parent franchisor</w:t>
            </w:r>
          </w:p>
        </w:tc>
        <w:tc>
          <w:tcPr>
            <w:tcW w:type="dxa" w:w="2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3A4A5C"/>
                <w:sz w:val="16"/>
                <w:szCs w:val="16"/>
              </w:rPr>
              <w:t xml:space="preserve">Neighborly</w:t>
            </w:r>
          </w:p>
        </w:tc>
        <w:tc>
          <w:tcPr>
            <w:tcW w:type="dxa" w:w="15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 VERIFIED</w:t>
            </w:r>
          </w:p>
        </w:tc>
        <w:tc>
          <w:tcPr>
            <w:tcW w:type="dxa" w:w="1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Neighborly portfolio site</w:t>
            </w:r>
          </w:p>
        </w:tc>
        <w:tc>
          <w:tcPr>
            <w:tcW w:type="dxa" w:w="78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Apr 28</w:t>
            </w:r>
          </w:p>
        </w:tc>
      </w:tr>
      <w:tr>
        <w:trPr>
          <w:cantSplit/>
        </w:trPr>
        <w:tc>
          <w:tcPr>
            <w:tcW w:type="dxa" w:w="30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bCs/>
                <w:color w:val="1A2B3C"/>
                <w:sz w:val="16"/>
                <w:szCs w:val="16"/>
              </w:rPr>
              <w:t xml:space="preserve">Parent PE owner</w:t>
            </w:r>
          </w:p>
        </w:tc>
        <w:tc>
          <w:tcPr>
            <w:tcW w:type="dxa" w:w="29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bCs/>
                <w:color w:val="3A4A5C"/>
                <w:sz w:val="16"/>
                <w:szCs w:val="16"/>
              </w:rPr>
              <w:t xml:space="preserve">KKR (active investor, exit window 2026-27)</w:t>
            </w:r>
          </w:p>
        </w:tc>
        <w:tc>
          <w:tcPr>
            <w:tcW w:type="dxa" w:w="15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 VERIFIED</w:t>
            </w:r>
          </w:p>
        </w:tc>
        <w:tc>
          <w:tcPr>
            <w:tcW w:type="dxa" w:w="19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KKR portfolio · Neighborly press</w:t>
            </w:r>
          </w:p>
        </w:tc>
        <w:tc>
          <w:tcPr>
            <w:tcW w:type="dxa" w:w="78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Apr 28</w:t>
            </w:r>
          </w:p>
        </w:tc>
      </w:tr>
      <w:tr>
        <w:trPr>
          <w:cantSplit/>
        </w:trPr>
        <w:tc>
          <w:tcPr>
            <w:tcW w:type="dxa" w:w="30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1A2B3C"/>
                <w:sz w:val="16"/>
                <w:szCs w:val="16"/>
              </w:rPr>
              <w:t xml:space="preserve">Parent tier</w:t>
            </w:r>
          </w:p>
        </w:tc>
        <w:tc>
          <w:tcPr>
            <w:tcW w:type="dxa" w:w="2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3A4A5C"/>
                <w:sz w:val="16"/>
                <w:szCs w:val="16"/>
              </w:rPr>
              <w:t xml:space="preserve">P1 · #1 · PE-GATED</w:t>
            </w:r>
          </w:p>
        </w:tc>
        <w:tc>
          <w:tcPr>
            <w:tcW w:type="dxa" w:w="15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 STRATEGIC</w:t>
            </w:r>
          </w:p>
        </w:tc>
        <w:tc>
          <w:tcPr>
            <w:tcW w:type="dxa" w:w="1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V2 ranking model</w:t>
            </w:r>
          </w:p>
        </w:tc>
        <w:tc>
          <w:tcPr>
            <w:tcW w:type="dxa" w:w="78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Apr 28</w:t>
            </w:r>
          </w:p>
        </w:tc>
      </w:tr>
      <w:tr>
        <w:trPr>
          <w:cantSplit/>
        </w:trPr>
        <w:tc>
          <w:tcPr>
            <w:tcW w:type="dxa" w:w="30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bCs/>
                <w:color w:val="1A2B3C"/>
                <w:sz w:val="16"/>
                <w:szCs w:val="16"/>
              </w:rPr>
              <w:t xml:space="preserve">Vertical</w:t>
            </w:r>
          </w:p>
        </w:tc>
        <w:tc>
          <w:tcPr>
            <w:tcW w:type="dxa" w:w="29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bCs/>
                <w:color w:val="3A4A5C"/>
                <w:sz w:val="16"/>
                <w:szCs w:val="16"/>
              </w:rPr>
              <w:t xml:space="preserve">Pest control — non-FieldRoutes/ST locations only</w:t>
            </w:r>
          </w:p>
        </w:tc>
        <w:tc>
          <w:tcPr>
            <w:tcW w:type="dxa" w:w="15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 ESTIMATED</w:t>
            </w:r>
          </w:p>
        </w:tc>
        <w:tc>
          <w:tcPr>
            <w:tcW w:type="dxa" w:w="19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Mosquito Joe / Neighborly</w:t>
            </w:r>
          </w:p>
        </w:tc>
        <w:tc>
          <w:tcPr>
            <w:tcW w:type="dxa" w:w="78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Apr 30</w:t>
            </w:r>
          </w:p>
        </w:tc>
      </w:tr>
      <w:tr>
        <w:trPr>
          <w:cantSplit/>
        </w:trPr>
        <w:tc>
          <w:tcPr>
            <w:tcW w:type="dxa" w:w="30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1A2B3C"/>
                <w:sz w:val="16"/>
                <w:szCs w:val="16"/>
              </w:rPr>
              <w:t xml:space="preserve">Brand network — locations</w:t>
            </w:r>
          </w:p>
        </w:tc>
        <w:tc>
          <w:tcPr>
            <w:tcW w:type="dxa" w:w="2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3A4A5C"/>
                <w:sz w:val="16"/>
                <w:szCs w:val="16"/>
              </w:rPr>
              <w:t xml:space="preserve">80 (estimated, non-ST subset)</w:t>
            </w:r>
          </w:p>
        </w:tc>
        <w:tc>
          <w:tcPr>
            <w:tcW w:type="dxa" w:w="15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 ESTIMATED</w:t>
            </w:r>
          </w:p>
        </w:tc>
        <w:tc>
          <w:tcPr>
            <w:tcW w:type="dxa" w:w="1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CRM v15.6 working figure</w:t>
            </w:r>
          </w:p>
        </w:tc>
        <w:tc>
          <w:tcPr>
            <w:tcW w:type="dxa" w:w="78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Apr 30</w:t>
            </w:r>
          </w:p>
        </w:tc>
      </w:tr>
      <w:tr>
        <w:trPr>
          <w:cantSplit/>
        </w:trPr>
        <w:tc>
          <w:tcPr>
            <w:tcW w:type="dxa" w:w="30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bCs/>
                <w:color w:val="1A2B3C"/>
                <w:sz w:val="16"/>
                <w:szCs w:val="16"/>
              </w:rPr>
              <w:t xml:space="preserve">Brand tech count</w:t>
            </w:r>
          </w:p>
        </w:tc>
        <w:tc>
          <w:tcPr>
            <w:tcW w:type="dxa" w:w="29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bCs/>
                <w:color w:val="3A4A5C"/>
                <w:sz w:val="16"/>
                <w:szCs w:val="16"/>
              </w:rPr>
              <w:t xml:space="preserve">240 (~3 techs/loc)</w:t>
            </w:r>
          </w:p>
        </w:tc>
        <w:tc>
          <w:tcPr>
            <w:tcW w:type="dxa" w:w="15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 ESTIMATED</w:t>
            </w:r>
          </w:p>
        </w:tc>
        <w:tc>
          <w:tcPr>
            <w:tcW w:type="dxa" w:w="19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CRM v15.6 working figure</w:t>
            </w:r>
          </w:p>
        </w:tc>
        <w:tc>
          <w:tcPr>
            <w:tcW w:type="dxa" w:w="78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Apr 30</w:t>
            </w:r>
          </w:p>
        </w:tc>
      </w:tr>
      <w:tr>
        <w:trPr>
          <w:cantSplit/>
        </w:trPr>
        <w:tc>
          <w:tcPr>
            <w:tcW w:type="dxa" w:w="30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1A2B3C"/>
                <w:sz w:val="16"/>
                <w:szCs w:val="16"/>
              </w:rPr>
              <w:t xml:space="preserve">ServiceBridge penetration</w:t>
            </w:r>
          </w:p>
        </w:tc>
        <w:tc>
          <w:tcPr>
            <w:tcW w:type="dxa" w:w="2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3A4A5C"/>
                <w:sz w:val="16"/>
                <w:szCs w:val="16"/>
              </w:rPr>
              <w:t xml:space="preserve">TBD — likely very low</w:t>
            </w:r>
          </w:p>
        </w:tc>
        <w:tc>
          <w:tcPr>
            <w:tcW w:type="dxa" w:w="15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 INTEL GAP</w:t>
            </w:r>
          </w:p>
        </w:tc>
        <w:tc>
          <w:tcPr>
            <w:tcW w:type="dxa" w:w="1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GPSI database query</w:t>
            </w:r>
          </w:p>
        </w:tc>
        <w:tc>
          <w:tcPr>
            <w:tcW w:type="dxa" w:w="78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Pending</w:t>
            </w:r>
          </w:p>
        </w:tc>
      </w:tr>
      <w:tr>
        <w:trPr>
          <w:cantSplit/>
        </w:trPr>
        <w:tc>
          <w:tcPr>
            <w:tcW w:type="dxa" w:w="30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bCs/>
                <w:color w:val="1A2B3C"/>
                <w:sz w:val="16"/>
                <w:szCs w:val="16"/>
              </w:rPr>
              <w:t xml:space="preserve">Franchisor mandate status</w:t>
            </w:r>
          </w:p>
        </w:tc>
        <w:tc>
          <w:tcPr>
            <w:tcW w:type="dxa" w:w="29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bCs/>
                <w:color w:val="3A4A5C"/>
                <w:sz w:val="16"/>
                <w:szCs w:val="16"/>
              </w:rPr>
              <w:t xml:space="preserve">FieldRoutes/ST flag UNCONFIRMED — counts as engageable until verified</w:t>
            </w:r>
          </w:p>
        </w:tc>
        <w:tc>
          <w:tcPr>
            <w:tcW w:type="dxa" w:w="15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 HYPOTHESIS</w:t>
            </w:r>
          </w:p>
        </w:tc>
        <w:tc>
          <w:tcPr>
            <w:tcW w:type="dxa" w:w="19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CRM v15.6 working figure</w:t>
            </w:r>
          </w:p>
        </w:tc>
        <w:tc>
          <w:tcPr>
            <w:tcW w:type="dxa" w:w="78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Apr 30</w:t>
            </w:r>
          </w:p>
        </w:tc>
      </w:tr>
      <w:tr>
        <w:trPr>
          <w:cantSplit/>
        </w:trPr>
        <w:tc>
          <w:tcPr>
            <w:tcW w:type="dxa" w:w="30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1A2B3C"/>
                <w:sz w:val="16"/>
                <w:szCs w:val="16"/>
              </w:rPr>
              <w:t xml:space="preserve">Brand president</w:t>
            </w:r>
          </w:p>
        </w:tc>
        <w:tc>
          <w:tcPr>
            <w:tcW w:type="dxa" w:w="2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3A4A5C"/>
                <w:sz w:val="16"/>
                <w:szCs w:val="16"/>
              </w:rPr>
              <w:t xml:space="preserve">Neighborly Mosquito Joe brand leadership (TBD specific name)</w:t>
            </w:r>
          </w:p>
        </w:tc>
        <w:tc>
          <w:tcPr>
            <w:tcW w:type="dxa" w:w="15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 INTEL GAP</w:t>
            </w:r>
          </w:p>
        </w:tc>
        <w:tc>
          <w:tcPr>
            <w:tcW w:type="dxa" w:w="1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LinkedIn / brand site</w:t>
            </w:r>
          </w:p>
        </w:tc>
        <w:tc>
          <w:tcPr>
            <w:tcW w:type="dxa" w:w="78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Pending</w:t>
            </w:r>
          </w:p>
        </w:tc>
      </w:tr>
      <w:tr>
        <w:trPr>
          <w:cantSplit/>
        </w:trPr>
        <w:tc>
          <w:tcPr>
            <w:tcW w:type="dxa" w:w="30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bCs/>
                <w:color w:val="1A2B3C"/>
                <w:sz w:val="16"/>
                <w:szCs w:val="16"/>
              </w:rPr>
              <w:t xml:space="preserve">Brand ops/tech leader</w:t>
            </w:r>
          </w:p>
        </w:tc>
        <w:tc>
          <w:tcPr>
            <w:tcW w:type="dxa" w:w="29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bCs/>
                <w:color w:val="3A4A5C"/>
                <w:sz w:val="16"/>
                <w:szCs w:val="16"/>
              </w:rPr>
              <w:t xml:space="preserve">Gagan Sinha CIO at Neighborly portfolio level</w:t>
            </w:r>
          </w:p>
        </w:tc>
        <w:tc>
          <w:tcPr>
            <w:tcW w:type="dxa" w:w="15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 VERIFIED</w:t>
            </w:r>
          </w:p>
        </w:tc>
        <w:tc>
          <w:tcPr>
            <w:tcW w:type="dxa" w:w="19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Neighborly press · LinkedIn</w:t>
            </w:r>
          </w:p>
        </w:tc>
        <w:tc>
          <w:tcPr>
            <w:tcW w:type="dxa" w:w="78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Apr 30</w:t>
            </w:r>
          </w:p>
        </w:tc>
      </w:tr>
      <w:tr>
        <w:trPr>
          <w:cantSplit/>
        </w:trPr>
        <w:tc>
          <w:tcPr>
            <w:tcW w:type="dxa" w:w="30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1A2B3C"/>
                <w:sz w:val="16"/>
                <w:szCs w:val="16"/>
              </w:rPr>
              <w:t xml:space="preserve">Accounting stack at franchisee</w:t>
            </w:r>
          </w:p>
        </w:tc>
        <w:tc>
          <w:tcPr>
            <w:tcW w:type="dxa" w:w="2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3A4A5C"/>
                <w:sz w:val="16"/>
                <w:szCs w:val="16"/>
              </w:rPr>
              <w:t xml:space="preserve">Likely QuickBooks-mixed for non-ST subset</w:t>
            </w:r>
          </w:p>
        </w:tc>
        <w:tc>
          <w:tcPr>
            <w:tcW w:type="dxa" w:w="15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 HYPOTHESIS</w:t>
            </w:r>
          </w:p>
        </w:tc>
        <w:tc>
          <w:tcPr>
            <w:tcW w:type="dxa" w:w="1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Pest-control vertical pattern</w:t>
            </w:r>
          </w:p>
        </w:tc>
        <w:tc>
          <w:tcPr>
            <w:tcW w:type="dxa" w:w="78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Apr 30</w:t>
            </w:r>
          </w:p>
        </w:tc>
      </w:tr>
      <w:tr>
        <w:trPr>
          <w:cantSplit/>
        </w:trPr>
        <w:tc>
          <w:tcPr>
            <w:tcW w:type="dxa" w:w="30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bCs/>
                <w:color w:val="1A2B3C"/>
                <w:sz w:val="16"/>
                <w:szCs w:val="16"/>
              </w:rPr>
              <w:t xml:space="preserve">Telematics overlap (GPSI)</w:t>
            </w:r>
          </w:p>
        </w:tc>
        <w:tc>
          <w:tcPr>
            <w:tcW w:type="dxa" w:w="29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bCs/>
                <w:color w:val="3A4A5C"/>
                <w:sz w:val="16"/>
                <w:szCs w:val="16"/>
              </w:rPr>
              <w:t xml:space="preserve">Likely Smart Fleet USA preferred (Neighborly portfolio standard)</w:t>
            </w:r>
          </w:p>
        </w:tc>
        <w:tc>
          <w:tcPr>
            <w:tcW w:type="dxa" w:w="15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 HYPOTHESIS</w:t>
            </w:r>
          </w:p>
        </w:tc>
        <w:tc>
          <w:tcPr>
            <w:tcW w:type="dxa" w:w="19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Smart Fleet USA partnership confirmed</w:t>
            </w:r>
          </w:p>
        </w:tc>
        <w:tc>
          <w:tcPr>
            <w:tcW w:type="dxa" w:w="78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Apr 30</w:t>
            </w:r>
          </w:p>
        </w:tc>
      </w:tr>
      <w:tr>
        <w:trPr>
          <w:cantSplit/>
        </w:trPr>
        <w:tc>
          <w:tcPr>
            <w:tcW w:type="dxa" w:w="30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1A2B3C"/>
                <w:sz w:val="16"/>
                <w:szCs w:val="16"/>
              </w:rPr>
              <w:t xml:space="preserve">GPO / buying group</w:t>
            </w:r>
          </w:p>
        </w:tc>
        <w:tc>
          <w:tcPr>
            <w:tcW w:type="dxa" w:w="2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3A4A5C"/>
                <w:sz w:val="16"/>
                <w:szCs w:val="16"/>
              </w:rPr>
              <w:t xml:space="preserve">Neighborly portfolio-level (no separate brand GPO)</w:t>
            </w:r>
          </w:p>
        </w:tc>
        <w:tc>
          <w:tcPr>
            <w:tcW w:type="dxa" w:w="15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 STRATEGIC</w:t>
            </w:r>
          </w:p>
        </w:tc>
        <w:tc>
          <w:tcPr>
            <w:tcW w:type="dxa" w:w="1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Neighborly portfolio structure</w:t>
            </w:r>
          </w:p>
        </w:tc>
        <w:tc>
          <w:tcPr>
            <w:tcW w:type="dxa" w:w="78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Apr 28</w:t>
            </w:r>
          </w:p>
        </w:tc>
      </w:tr>
      <w:tr>
        <w:trPr>
          <w:cantSplit/>
        </w:trPr>
        <w:tc>
          <w:tcPr>
            <w:tcW w:type="dxa" w:w="30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bCs/>
                <w:color w:val="1A2B3C"/>
                <w:sz w:val="16"/>
                <w:szCs w:val="16"/>
              </w:rPr>
              <w:t xml:space="preserve">Customer mix (B2B vs consumer)</w:t>
            </w:r>
          </w:p>
        </w:tc>
        <w:tc>
          <w:tcPr>
            <w:tcW w:type="dxa" w:w="29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bCs/>
                <w:color w:val="3A4A5C"/>
                <w:sz w:val="16"/>
                <w:szCs w:val="16"/>
              </w:rPr>
              <w:t xml:space="preserve">Heavy residential consumer + light commercial pest control</w:t>
            </w:r>
          </w:p>
        </w:tc>
        <w:tc>
          <w:tcPr>
            <w:tcW w:type="dxa" w:w="15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 VERIFIED</w:t>
            </w:r>
          </w:p>
        </w:tc>
        <w:tc>
          <w:tcPr>
            <w:tcW w:type="dxa" w:w="19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Mosquito Joe service offerings</w:t>
            </w:r>
          </w:p>
        </w:tc>
        <w:tc>
          <w:tcPr>
            <w:tcW w:type="dxa" w:w="78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Apr 30</w:t>
            </w:r>
          </w:p>
        </w:tc>
      </w:tr>
      <w:tr>
        <w:trPr>
          <w:cantSplit/>
        </w:trPr>
        <w:tc>
          <w:tcPr>
            <w:tcW w:type="dxa" w:w="30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1A2B3C"/>
                <w:sz w:val="16"/>
                <w:szCs w:val="16"/>
              </w:rPr>
              <w:t xml:space="preserve">Public visibility (brand corp)</w:t>
            </w:r>
          </w:p>
        </w:tc>
        <w:tc>
          <w:tcPr>
            <w:tcW w:type="dxa" w:w="2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3A4A5C"/>
                <w:sz w:val="16"/>
                <w:szCs w:val="16"/>
              </w:rPr>
              <w:t xml:space="preserve">Moderate — within Neighborly portfolio architecture</w:t>
            </w:r>
          </w:p>
        </w:tc>
        <w:tc>
          <w:tcPr>
            <w:tcW w:type="dxa" w:w="15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 VERIFIED</w:t>
            </w:r>
          </w:p>
        </w:tc>
        <w:tc>
          <w:tcPr>
            <w:tcW w:type="dxa" w:w="1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LinkedIn / Neighborly portfolio site</w:t>
            </w:r>
          </w:p>
        </w:tc>
        <w:tc>
          <w:tcPr>
            <w:tcW w:type="dxa" w:w="78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Apr 30</w:t>
            </w:r>
          </w:p>
        </w:tc>
      </w:tr>
    </w:tbl>
    <w:p>
      <w:pPr>
        <w:spacing w:after="160" w:before="160"/>
      </w:pPr>
      <w:r>
        <w:t xml:space="preserve"/>
      </w:r>
    </w:p>
    <w:p>
      <w:pPr>
        <w:spacing w:after="120" w:before="240"/>
      </w:pPr>
      <w:r>
        <w:rPr>
          <w:b/>
          <w:bCs/>
          <w:color w:val="1A2B3C"/>
          <w:sz w:val="28"/>
          <w:szCs w:val="28"/>
        </w:rPr>
        <w:t xml:space="preserve">🎯  Brand profile signals — the dimensions that drive engagement strategy</w:t>
      </w:r>
    </w:p>
    <w:tbl>
      <w:tblPr>
        <w:tblW w:type="dxa" w:w="10080"/>
        <w:tblBorders>
          <w:top w:val="single" w:color="D0D5DD" w:sz="6"/>
          <w:left w:val="single" w:color="D0D5DD" w:sz="6"/>
          <w:bottom w:val="single" w:color="D0D5DD" w:sz="6"/>
          <w:right w:val="single" w:color="D0D5DD" w:sz="6"/>
          <w:insideH w:val="single" w:color="auto" w:sz="4"/>
          <w:insideV w:val="single" w:color="auto" w:sz="4"/>
        </w:tblBorders>
      </w:tblPr>
      <w:tblGrid>
        <w:gridCol w:w="10080"/>
      </w:tblGrid>
      <w:tr>
        <w:tc>
          <w:tcPr>
            <w:tcW w:type="dxa" w:w="10080"/>
            <w:shd w:fill="F5F6F8" w:val="clear"/>
            <w:tcMar>
              <w:top w:type="dxa" w:w="200"/>
              <w:left w:type="dxa" w:w="280"/>
              <w:bottom w:type="dxa" w:w="200"/>
              <w:right w:type="dxa" w:w="280"/>
            </w:tcMar>
          </w:tcPr>
          <w:p>
            <w:pPr>
              <w:spacing w:after="100"/>
            </w:pPr>
            <w:r>
              <w:rPr>
                <w:b/>
                <w:bCs/>
                <w:color w:val="1A2B3C"/>
                <w:sz w:val="22"/>
                <w:szCs w:val="22"/>
              </w:rPr>
              <w:t xml:space="preserve">Why this section matters</w:t>
            </w:r>
          </w:p>
          <w:p>
            <w:pPr>
              <w:spacing w:after="100"/>
            </w:pPr>
            <w:r>
              <w:rPr>
                <w:color w:val="3A4A5C"/>
                <w:sz w:val="19"/>
                <w:szCs w:val="19"/>
              </w:rPr>
              <w:t xml:space="preserve">Eleven signals diagnose any brand corp. Together they determine which engagement channels work, what the operational ROI story sounds like, and where the brand sits in priority. Score each signal high/medium/low and let the pattern guide channel selection.</w:t>
            </w:r>
          </w:p>
          <w:p>
            <w:pPr>
              <w:spacing w:after="100"/>
            </w:pPr>
            <w:r>
              <w:rPr>
                <w:color w:val="3A4A5C"/>
                <w:sz w:val="19"/>
                <w:szCs w:val="19"/>
              </w:rPr>
              <w:t xml:space="preserve">Two signals carry extra weight in V2 priority ranking: GREENFIELD + PAPER-BASED OPS (combined 25% weight) and ACCOUNTING STACK INDICATORS (QuickBooks-only is the strongest greenfield+paper proxy). Together these flag highest-velocity opportunities.</w:t>
            </w:r>
          </w:p>
        </w:tc>
      </w:tr>
    </w:tbl>
    <w:p>
      <w:pPr>
        <w:spacing w:after="8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00"/>
        <w:gridCol w:w="4000"/>
        <w:gridCol w:w="2780"/>
      </w:tblGrid>
      <w:tr>
        <w:trPr>
          <w:tblHeader/>
        </w:trPr>
        <w:tc>
          <w:tcPr>
            <w:tcW w:type="dxa" w:w="3300"/>
            <w:tcBorders>
              <w:top w:val="single" w:color="1A2B3C" w:sz="4"/>
              <w:left w:val="single" w:color="1A2B3C" w:sz="4"/>
              <w:bottom w:val="single" w:color="1A2B3C" w:sz="4"/>
              <w:right w:val="single" w:color="1A2B3C" w:sz="4"/>
            </w:tcBorders>
            <w:shd w:fill="1A2B3C" w:val="clear"/>
            <w:tcMar>
              <w:top w:type="dxa" w:w="70"/>
              <w:left w:type="dxa" w:w="120"/>
              <w:bottom w:type="dxa" w:w="70"/>
              <w:right w:type="dxa" w:w="120"/>
            </w:tcMar>
            <w:vAlign w:val="center"/>
          </w:tcPr>
          <w:p>
            <w:r>
              <w:rPr>
                <w:b/>
                <w:bCs/>
                <w:color w:val="FFFFFF"/>
                <w:spacing w:val="30"/>
                <w:sz w:val="13"/>
                <w:szCs w:val="13"/>
              </w:rPr>
              <w:t xml:space="preserve">SIGNAL</w:t>
            </w:r>
          </w:p>
        </w:tc>
        <w:tc>
          <w:tcPr>
            <w:tcW w:type="dxa" w:w="4000"/>
            <w:tcBorders>
              <w:top w:val="single" w:color="1A2B3C" w:sz="4"/>
              <w:left w:val="single" w:color="1A2B3C" w:sz="4"/>
              <w:bottom w:val="single" w:color="1A2B3C" w:sz="4"/>
              <w:right w:val="single" w:color="1A2B3C" w:sz="4"/>
            </w:tcBorders>
            <w:shd w:fill="1A2B3C" w:val="clear"/>
            <w:tcMar>
              <w:top w:type="dxa" w:w="70"/>
              <w:left w:type="dxa" w:w="120"/>
              <w:bottom w:type="dxa" w:w="70"/>
              <w:right w:type="dxa" w:w="120"/>
            </w:tcMar>
            <w:vAlign w:val="center"/>
          </w:tcPr>
          <w:p>
            <w:r>
              <w:rPr>
                <w:b/>
                <w:bCs/>
                <w:color w:val="FFFFFF"/>
                <w:spacing w:val="30"/>
                <w:sz w:val="13"/>
                <w:szCs w:val="13"/>
              </w:rPr>
              <w:t xml:space="preserve">MOSQUITO JOE (NON-ST) VALUE</w:t>
            </w:r>
          </w:p>
        </w:tc>
        <w:tc>
          <w:tcPr>
            <w:tcW w:type="dxa" w:w="2780"/>
            <w:tcBorders>
              <w:top w:val="single" w:color="1A2B3C" w:sz="4"/>
              <w:left w:val="single" w:color="1A2B3C" w:sz="4"/>
              <w:bottom w:val="single" w:color="1A2B3C" w:sz="4"/>
              <w:right w:val="single" w:color="1A2B3C" w:sz="4"/>
            </w:tcBorders>
            <w:shd w:fill="1A2B3C" w:val="clear"/>
            <w:tcMar>
              <w:top w:type="dxa" w:w="70"/>
              <w:left w:type="dxa" w:w="120"/>
              <w:bottom w:type="dxa" w:w="70"/>
              <w:right w:type="dxa" w:w="120"/>
            </w:tcMar>
            <w:vAlign w:val="center"/>
          </w:tcPr>
          <w:p>
            <w:r>
              <w:rPr>
                <w:b/>
                <w:bCs/>
                <w:color w:val="FFFFFF"/>
                <w:spacing w:val="30"/>
                <w:sz w:val="13"/>
                <w:szCs w:val="13"/>
              </w:rPr>
              <w:t xml:space="preserve">ENGAGEMENT IMPLICATION</w:t>
            </w:r>
          </w:p>
        </w:tc>
      </w:tr>
      <w:tr>
        <w:trPr>
          <w:cantSplit/>
        </w:trPr>
        <w:tc>
          <w:tcPr>
            <w:tcW w:type="dxa" w:w="33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bCs/>
                <w:color w:val="1A2B3C"/>
                <w:sz w:val="15"/>
                <w:szCs w:val="15"/>
              </w:rPr>
              <w:t xml:space="preserve">Greenfield + paper-based ops</w:t>
            </w:r>
          </w:p>
        </w:tc>
        <w:tc>
          <w:tcPr>
            <w:tcW w:type="dxa" w:w="40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val="false"/>
                <w:bCs w:val="false"/>
                <w:color w:val="3A4A5C"/>
                <w:sz w:val="15"/>
                <w:szCs w:val="15"/>
              </w:rPr>
              <w:t xml:space="preserve">VARIES — brand-specific (see vertical fit row)</w:t>
            </w:r>
          </w:p>
        </w:tc>
        <w:tc>
          <w:tcPr>
            <w:tcW w:type="dxa" w:w="278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val="false"/>
                <w:bCs w:val="false"/>
                <w:color w:val="3A4A5C"/>
                <w:sz w:val="14"/>
                <w:szCs w:val="14"/>
              </w:rPr>
              <w:t xml:space="preserve">Greenfield bump applies where no FSM mandate. Within Neighborly, only specific brands and non-ST locations qualify.</w:t>
            </w:r>
          </w:p>
        </w:tc>
      </w:tr>
      <w:tr>
        <w:trPr>
          <w:cantSplit/>
        </w:trPr>
        <w:tc>
          <w:tcPr>
            <w:tcW w:type="dxa" w:w="33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bCs/>
                <w:color w:val="1A2B3C"/>
                <w:sz w:val="15"/>
                <w:szCs w:val="15"/>
              </w:rPr>
              <w:t xml:space="preserve">Accounting stack (QB / Intuit FSM / higher-tier)</w:t>
            </w:r>
          </w:p>
        </w:tc>
        <w:tc>
          <w:tcPr>
            <w:tcW w:type="dxa" w:w="40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val="false"/>
                <w:bCs w:val="false"/>
                <w:color w:val="3A4A5C"/>
                <w:sz w:val="15"/>
                <w:szCs w:val="15"/>
              </w:rPr>
              <w:t xml:space="preserve">Mixed — Neighborly franchisees range across QB, brand-specific tools</w:t>
            </w:r>
          </w:p>
        </w:tc>
        <w:tc>
          <w:tcPr>
            <w:tcW w:type="dxa" w:w="278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val="false"/>
                <w:bCs w:val="false"/>
                <w:color w:val="3A4A5C"/>
                <w:sz w:val="14"/>
                <w:szCs w:val="14"/>
              </w:rPr>
              <w:t xml:space="preserve">Neighborly portfolio doesn't standardize accounting stack. Per-brand validation required.</w:t>
            </w:r>
          </w:p>
        </w:tc>
      </w:tr>
      <w:tr>
        <w:trPr>
          <w:cantSplit/>
        </w:trPr>
        <w:tc>
          <w:tcPr>
            <w:tcW w:type="dxa" w:w="33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bCs/>
                <w:color w:val="1A2B3C"/>
                <w:sz w:val="15"/>
                <w:szCs w:val="15"/>
              </w:rPr>
              <w:t xml:space="preserve">Customer mix (B2B vs consumer)</w:t>
            </w:r>
          </w:p>
        </w:tc>
        <w:tc>
          <w:tcPr>
            <w:tcW w:type="dxa" w:w="40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val="false"/>
                <w:bCs w:val="false"/>
                <w:color w:val="3A4A5C"/>
                <w:sz w:val="15"/>
                <w:szCs w:val="15"/>
              </w:rPr>
              <w:t xml:space="preserve">Heavy consumer — Neighborly is consumer-led portfolio</w:t>
            </w:r>
          </w:p>
        </w:tc>
        <w:tc>
          <w:tcPr>
            <w:tcW w:type="dxa" w:w="278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val="false"/>
                <w:bCs w:val="false"/>
                <w:color w:val="3A4A5C"/>
                <w:sz w:val="14"/>
                <w:szCs w:val="14"/>
              </w:rPr>
              <w:t xml:space="preserve">Consumer-led brands favor reviews/SEO/local marketing. Recurring-billing ROI math still applies for routes.</w:t>
            </w:r>
          </w:p>
        </w:tc>
      </w:tr>
      <w:tr>
        <w:trPr>
          <w:cantSplit/>
        </w:trPr>
        <w:tc>
          <w:tcPr>
            <w:tcW w:type="dxa" w:w="33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bCs/>
                <w:color w:val="1A2B3C"/>
                <w:sz w:val="15"/>
                <w:szCs w:val="15"/>
              </w:rPr>
              <w:t xml:space="preserve">GPO / buying group membership</w:t>
            </w:r>
          </w:p>
        </w:tc>
        <w:tc>
          <w:tcPr>
            <w:tcW w:type="dxa" w:w="40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val="false"/>
                <w:bCs w:val="false"/>
                <w:color w:val="3A4A5C"/>
                <w:sz w:val="15"/>
                <w:szCs w:val="15"/>
              </w:rPr>
              <w:t xml:space="preserve">Neighborly portfolio-level (no separate brand GPO)</w:t>
            </w:r>
          </w:p>
        </w:tc>
        <w:tc>
          <w:tcPr>
            <w:tcW w:type="dxa" w:w="278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val="false"/>
                <w:bCs w:val="false"/>
                <w:color w:val="3A4A5C"/>
                <w:sz w:val="14"/>
                <w:szCs w:val="14"/>
              </w:rPr>
              <w:t xml:space="preserve">Neighborly franchisees access portfolio-level vendor agreements. Brand-corp endorsement gated on parent franchisor approval.</w:t>
            </w:r>
          </w:p>
        </w:tc>
      </w:tr>
      <w:tr>
        <w:trPr>
          <w:cantSplit/>
        </w:trPr>
        <w:tc>
          <w:tcPr>
            <w:tcW w:type="dxa" w:w="33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bCs/>
                <w:color w:val="1A2B3C"/>
                <w:sz w:val="15"/>
                <w:szCs w:val="15"/>
              </w:rPr>
              <w:t xml:space="preserve">Vertical fit</w:t>
            </w:r>
          </w:p>
        </w:tc>
        <w:tc>
          <w:tcPr>
            <w:tcW w:type="dxa" w:w="40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val="false"/>
                <w:bCs w:val="false"/>
                <w:color w:val="3A4A5C"/>
                <w:sz w:val="15"/>
                <w:szCs w:val="15"/>
              </w:rPr>
              <w:t xml:space="preserve">Pest control — moderate SB fit (recurring routes, customer billing) but lower dispatch intensity than plumbing/HVAC</w:t>
            </w:r>
          </w:p>
        </w:tc>
        <w:tc>
          <w:tcPr>
            <w:tcW w:type="dxa" w:w="278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val="false"/>
                <w:bCs w:val="false"/>
                <w:color w:val="3A4A5C"/>
                <w:sz w:val="14"/>
                <w:szCs w:val="14"/>
              </w:rPr>
              <w:t xml:space="preserve">Pest control is moderate-fit. Not as strong as plumbing or HVAC verticals.</w:t>
            </w:r>
          </w:p>
        </w:tc>
      </w:tr>
      <w:tr>
        <w:trPr>
          <w:cantSplit/>
        </w:trPr>
        <w:tc>
          <w:tcPr>
            <w:tcW w:type="dxa" w:w="33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bCs/>
                <w:color w:val="1A2B3C"/>
                <w:sz w:val="15"/>
                <w:szCs w:val="15"/>
              </w:rPr>
              <w:t xml:space="preserve">Brand network size + tech count</w:t>
            </w:r>
          </w:p>
        </w:tc>
        <w:tc>
          <w:tcPr>
            <w:tcW w:type="dxa" w:w="40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val="false"/>
                <w:bCs w:val="false"/>
                <w:color w:val="3A4A5C"/>
                <w:sz w:val="15"/>
                <w:szCs w:val="15"/>
              </w:rPr>
              <w:t xml:space="preserve">Small subset — ~80 locs / ~240 techs (smallest of Neighborly non-ST set)</w:t>
            </w:r>
          </w:p>
        </w:tc>
        <w:tc>
          <w:tcPr>
            <w:tcW w:type="dxa" w:w="278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val="false"/>
                <w:bCs w:val="false"/>
                <w:color w:val="3A4A5C"/>
                <w:sz w:val="14"/>
                <w:szCs w:val="14"/>
              </w:rPr>
              <w:t xml:space="preserve">Smallest of the engageable subset. Strategic value &gt; revenue value.</w:t>
            </w:r>
          </w:p>
        </w:tc>
      </w:tr>
      <w:tr>
        <w:trPr>
          <w:cantSplit/>
        </w:trPr>
        <w:tc>
          <w:tcPr>
            <w:tcW w:type="dxa" w:w="33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bCs/>
                <w:color w:val="1A2B3C"/>
                <w:sz w:val="15"/>
                <w:szCs w:val="15"/>
              </w:rPr>
              <w:t xml:space="preserve">Geographic concentration</w:t>
            </w:r>
          </w:p>
        </w:tc>
        <w:tc>
          <w:tcPr>
            <w:tcW w:type="dxa" w:w="40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val="false"/>
                <w:bCs w:val="false"/>
                <w:color w:val="3A4A5C"/>
                <w:sz w:val="15"/>
                <w:szCs w:val="15"/>
              </w:rPr>
              <w:t xml:space="preserve">National footprint</w:t>
            </w:r>
          </w:p>
        </w:tc>
        <w:tc>
          <w:tcPr>
            <w:tcW w:type="dxa" w:w="278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val="false"/>
                <w:bCs w:val="false"/>
                <w:color w:val="3A4A5C"/>
                <w:sz w:val="14"/>
                <w:szCs w:val="14"/>
              </w:rPr>
              <w:t xml:space="preserve">National brand-corp coordination required. Local trade-press still relevant for franchisee recruitment.</w:t>
            </w:r>
          </w:p>
        </w:tc>
      </w:tr>
      <w:tr>
        <w:trPr>
          <w:cantSplit/>
        </w:trPr>
        <w:tc>
          <w:tcPr>
            <w:tcW w:type="dxa" w:w="33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bCs/>
                <w:color w:val="1A2B3C"/>
                <w:sz w:val="15"/>
                <w:szCs w:val="15"/>
              </w:rPr>
              <w:t xml:space="preserve">Multi-unit operator density</w:t>
            </w:r>
          </w:p>
        </w:tc>
        <w:tc>
          <w:tcPr>
            <w:tcW w:type="dxa" w:w="40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val="false"/>
                <w:bCs w:val="false"/>
                <w:color w:val="3A4A5C"/>
                <w:sz w:val="15"/>
                <w:szCs w:val="15"/>
              </w:rPr>
              <w:t xml:space="preserve">TBD — research gap</w:t>
            </w:r>
          </w:p>
        </w:tc>
        <w:tc>
          <w:tcPr>
            <w:tcW w:type="dxa" w:w="278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val="false"/>
                <w:bCs w:val="false"/>
                <w:color w:val="3A4A5C"/>
                <w:sz w:val="14"/>
                <w:szCs w:val="14"/>
              </w:rPr>
              <w:t xml:space="preserve">Neighborly franchisees often multi-brand operators (own franchises across portfolio). Density unlocks portfolio-level conversations.</w:t>
            </w:r>
          </w:p>
        </w:tc>
      </w:tr>
      <w:tr>
        <w:trPr>
          <w:cantSplit/>
        </w:trPr>
        <w:tc>
          <w:tcPr>
            <w:tcW w:type="dxa" w:w="33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bCs/>
                <w:color w:val="1A2B3C"/>
                <w:sz w:val="15"/>
                <w:szCs w:val="15"/>
              </w:rPr>
              <w:t xml:space="preserve">GPSI customer overlap</w:t>
            </w:r>
          </w:p>
        </w:tc>
        <w:tc>
          <w:tcPr>
            <w:tcW w:type="dxa" w:w="40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val="false"/>
                <w:bCs w:val="false"/>
                <w:color w:val="3A4A5C"/>
                <w:sz w:val="15"/>
                <w:szCs w:val="15"/>
              </w:rPr>
              <w:t xml:space="preserve">Likely Smart Fleet USA preferred (Neighborly standard)</w:t>
            </w:r>
          </w:p>
        </w:tc>
        <w:tc>
          <w:tcPr>
            <w:tcW w:type="dxa" w:w="278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val="false"/>
                <w:bCs w:val="false"/>
                <w:color w:val="3A4A5C"/>
                <w:sz w:val="14"/>
                <w:szCs w:val="14"/>
              </w:rPr>
              <w:t xml:space="preserve">Highest weight on warm-path scoring. Neighborly's preferred telematics is Smart Fleet USA (Azuga platform) — hard conflict flag for any GPSI-led approach.</w:t>
            </w:r>
          </w:p>
        </w:tc>
      </w:tr>
      <w:tr>
        <w:trPr>
          <w:cantSplit/>
        </w:trPr>
        <w:tc>
          <w:tcPr>
            <w:tcW w:type="dxa" w:w="33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bCs/>
                <w:color w:val="1A2B3C"/>
                <w:sz w:val="15"/>
                <w:szCs w:val="15"/>
              </w:rPr>
              <w:t xml:space="preserve">Existing FSM landscape</w:t>
            </w:r>
          </w:p>
        </w:tc>
        <w:tc>
          <w:tcPr>
            <w:tcW w:type="dxa" w:w="40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val="false"/>
                <w:bCs w:val="false"/>
                <w:color w:val="3A4A5C"/>
                <w:sz w:val="15"/>
                <w:szCs w:val="15"/>
              </w:rPr>
              <w:t xml:space="preserve">MIXED within non-ST subset; FieldRoutes/ST flag unconfirmed but suspected on broader brand</w:t>
            </w:r>
          </w:p>
        </w:tc>
        <w:tc>
          <w:tcPr>
            <w:tcW w:type="dxa" w:w="278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val="false"/>
                <w:bCs w:val="false"/>
                <w:color w:val="3A4A5C"/>
                <w:sz w:val="14"/>
                <w:szCs w:val="14"/>
              </w:rPr>
              <w:t xml:space="preserve">MIXED posture — engagement viable but constrained by parent context.</w:t>
            </w:r>
          </w:p>
        </w:tc>
      </w:tr>
      <w:tr>
        <w:trPr>
          <w:cantSplit/>
        </w:trPr>
        <w:tc>
          <w:tcPr>
            <w:tcW w:type="dxa" w:w="33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bCs/>
                <w:color w:val="1A2B3C"/>
                <w:sz w:val="15"/>
                <w:szCs w:val="15"/>
              </w:rPr>
              <w:t xml:space="preserve">Recent leadership changes</w:t>
            </w:r>
          </w:p>
        </w:tc>
        <w:tc>
          <w:tcPr>
            <w:tcW w:type="dxa" w:w="40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val="false"/>
                <w:bCs w:val="false"/>
                <w:color w:val="3A4A5C"/>
                <w:sz w:val="15"/>
                <w:szCs w:val="15"/>
              </w:rPr>
              <w:t xml:space="preserve">Gagan Sinha CIO (Sept 2025) — primary FSM decision-maker, still forming roadmap</w:t>
            </w:r>
          </w:p>
        </w:tc>
        <w:tc>
          <w:tcPr>
            <w:tcW w:type="dxa" w:w="278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val="false"/>
                <w:bCs w:val="false"/>
                <w:color w:val="3A4A5C"/>
                <w:sz w:val="14"/>
                <w:szCs w:val="14"/>
              </w:rPr>
              <w:t xml:space="preserve">CIO transition creates open-roadmap opportunity but PE-gated engagement constraint applies.</w:t>
            </w:r>
          </w:p>
        </w:tc>
      </w:tr>
      <w:tr>
        <w:trPr>
          <w:cantSplit/>
        </w:trPr>
        <w:tc>
          <w:tcPr>
            <w:tcW w:type="dxa" w:w="33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bCs/>
                <w:color w:val="1A2B3C"/>
                <w:sz w:val="15"/>
                <w:szCs w:val="15"/>
              </w:rPr>
              <w:t xml:space="preserve">Public visibility / engagement signals</w:t>
            </w:r>
          </w:p>
        </w:tc>
        <w:tc>
          <w:tcPr>
            <w:tcW w:type="dxa" w:w="40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val="false"/>
                <w:bCs w:val="false"/>
                <w:color w:val="3A4A5C"/>
                <w:sz w:val="15"/>
                <w:szCs w:val="15"/>
              </w:rPr>
              <w:t xml:space="preserve">Moderate — established brand within Neighborly portfolio</w:t>
            </w:r>
          </w:p>
        </w:tc>
        <w:tc>
          <w:tcPr>
            <w:tcW w:type="dxa" w:w="278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val="false"/>
                <w:bCs w:val="false"/>
                <w:color w:val="3A4A5C"/>
                <w:sz w:val="14"/>
                <w:szCs w:val="14"/>
              </w:rPr>
              <w:t xml:space="preserve">Warm-path / parent-franchisor route dominates. Direct outreach gated on PE pathway.</w:t>
            </w:r>
          </w:p>
        </w:tc>
      </w:tr>
    </w:tbl>
    <w:p>
      <w:pPr>
        <w:spacing w:after="160" w:before="160"/>
      </w:pPr>
      <w:r>
        <w:t xml:space="preserve"/>
      </w:r>
    </w:p>
    <w:p>
      <w:pPr>
        <w:spacing w:after="120" w:before="240"/>
      </w:pPr>
      <w:r>
        <w:rPr>
          <w:b/>
          <w:bCs/>
          <w:color w:val="1A2B3C"/>
          <w:sz w:val="28"/>
          <w:szCs w:val="28"/>
        </w:rPr>
        <w:t xml:space="preserve">📣  Engagement architecture — five channels scored against brand profile</w:t>
      </w:r>
    </w:p>
    <w:tbl>
      <w:tblPr>
        <w:tblW w:type="dxa" w:w="10080"/>
        <w:tblBorders>
          <w:top w:val="single" w:color="D0D5DD" w:sz="6"/>
          <w:left w:val="single" w:color="D0D5DD" w:sz="6"/>
          <w:bottom w:val="single" w:color="D0D5DD" w:sz="6"/>
          <w:right w:val="single" w:color="D0D5DD" w:sz="6"/>
          <w:insideH w:val="single" w:color="auto" w:sz="4"/>
          <w:insideV w:val="single" w:color="auto" w:sz="4"/>
        </w:tblBorders>
      </w:tblPr>
      <w:tblGrid>
        <w:gridCol w:w="10080"/>
      </w:tblGrid>
      <w:tr>
        <w:tc>
          <w:tcPr>
            <w:tcW w:type="dxa" w:w="10080"/>
            <w:shd w:fill="F5F6F8" w:val="clear"/>
            <w:tcMar>
              <w:top w:type="dxa" w:w="200"/>
              <w:left w:type="dxa" w:w="280"/>
              <w:bottom w:type="dxa" w:w="200"/>
              <w:right w:type="dxa" w:w="280"/>
            </w:tcMar>
          </w:tcPr>
          <w:p>
            <w:pPr>
              <w:spacing w:after="100"/>
            </w:pPr>
            <w:r>
              <w:rPr>
                <w:b/>
                <w:bCs/>
                <w:color w:val="1A2B3C"/>
                <w:sz w:val="22"/>
                <w:szCs w:val="22"/>
              </w:rPr>
              <w:t xml:space="preserve">How this section works</w:t>
            </w:r>
          </w:p>
          <w:p>
            <w:pPr>
              <w:spacing w:after="100"/>
            </w:pPr>
            <w:r>
              <w:rPr>
                <w:color w:val="3A4A5C"/>
                <w:sz w:val="19"/>
                <w:szCs w:val="19"/>
              </w:rPr>
              <w:t xml:space="preserve">Five engagement channels assessed against Mosquito Joe (non-ST)'s profile signals. Each gets a fit rating (HIGH/MEDIUM/LOW) and specific tactics. The right engagement plan combines 2-3 channels weighted by what the brand profile rewards — not a generic mix.</w:t>
            </w:r>
          </w:p>
        </w:tc>
      </w:tr>
    </w:tbl>
    <w:p>
      <w:pPr>
        <w:spacing w:after="80" w:before="80"/>
      </w:pPr>
      <w:r>
        <w:t xml:space="preserve"/>
      </w:r>
    </w:p>
    <w:p>
      <w:pPr>
        <w:spacing w:after="80" w:before="160"/>
      </w:pPr>
      <w:r>
        <w:rPr>
          <w:b/>
          <w:bCs/>
          <w:color w:val="1A2B3C"/>
          <w:sz w:val="22"/>
          <w:szCs w:val="22"/>
        </w:rPr>
        <w:t xml:space="preserve">1. Warm path activation</w:t>
      </w:r>
    </w:p>
    <w:tbl>
      <w:tblPr>
        <w:tblW w:type="dxa" w:w="10080"/>
        <w:tblBorders>
          <w:top w:val="single" w:color="D0D5DD" w:sz="4"/>
          <w:left w:val="single" w:color="D0D5DD" w:sz="4"/>
          <w:bottom w:val="single" w:color="D0D5DD" w:sz="4"/>
          <w:right w:val="single" w:color="D0D5DD" w:sz="4"/>
          <w:insideH w:val="single" w:color="auto" w:sz="4"/>
          <w:insideV w:val="single" w:color="auto" w:sz="4"/>
        </w:tblBorders>
      </w:tblPr>
      <w:tblGrid>
        <w:gridCol w:w="1800"/>
        <w:gridCol w:w="8280"/>
      </w:tblGrid>
      <w:tr>
        <w:trPr>
          <w:cantSplit/>
        </w:trPr>
        <w:tc>
          <w:tcPr>
            <w:tcW w:type="dxa" w:w="1800"/>
            <w:tcBorders>
              <w:top w:val="single" w:color="D0D5DD" w:sz="4"/>
              <w:left w:val="single" w:color="D0D5DD" w:sz="4"/>
              <w:bottom w:val="single" w:color="D0D5DD" w:sz="4"/>
              <w:right w:val="single" w:color="D0D5DD" w:sz="4"/>
            </w:tcBorders>
            <w:shd w:fill="EAF3DE" w:val="clear"/>
            <w:tcMar>
              <w:top w:type="dxa" w:w="120"/>
              <w:left w:type="dxa" w:w="160"/>
              <w:bottom w:type="dxa" w:w="120"/>
              <w:right w:type="dxa" w:w="160"/>
            </w:tcMar>
            <w:vAlign w:val="center"/>
          </w:tcPr>
          <w:p>
            <w:pPr>
              <w:jc w:val="center"/>
            </w:pPr>
            <w:r>
              <w:rPr>
                <w:b/>
                <w:bCs/>
                <w:color w:val="27500A"/>
                <w:spacing w:val="40"/>
                <w:sz w:val="18"/>
                <w:szCs w:val="18"/>
              </w:rPr>
              <w:t xml:space="preserve">HIGH</w:t>
            </w:r>
          </w:p>
        </w:tc>
        <w:tc>
          <w:tcPr>
            <w:tcW w:type="dxa" w:w="8280"/>
            <w:tcBorders>
              <w:top w:val="single" w:color="D0D5DD" w:sz="4"/>
              <w:left w:val="single" w:color="D0D5DD" w:sz="4"/>
              <w:bottom w:val="single" w:color="D0D5DD" w:sz="4"/>
              <w:right w:val="single" w:color="D0D5DD" w:sz="4"/>
            </w:tcBorders>
            <w:shd w:fill="FFFFFF" w:val="clear"/>
            <w:tcMar>
              <w:top w:type="dxa" w:w="120"/>
              <w:left w:type="dxa" w:w="200"/>
              <w:bottom w:type="dxa" w:w="120"/>
              <w:right w:type="dxa" w:w="200"/>
            </w:tcMar>
            <w:vAlign w:val="top"/>
          </w:tcPr>
          <w:p>
            <w:r>
              <w:rPr>
                <w:color w:val="3A4A5C"/>
                <w:sz w:val="16"/>
                <w:szCs w:val="16"/>
              </w:rPr>
              <w:t xml:space="preserve">PRIMARY PATH. Charles → Accel-KKR → KKR warm path is the dominant engagement channel for any Neighborly brand. Felix Gernburd + David Brandon at KKR are the warm-intro path Charles holds. Gagan Sinha CIO (joined Sept 2025 from Bloomin' Brands) is the primary FSM decision-maker at Neighborly — coordinate any Sinha conversation through the KKR pathway. GPSI overlap query at Neighborly is likely partial; Smart Fleet USA is Neighborly's preferred telematics — direct GPSI-led approaches face conflict flag.</w:t>
            </w:r>
          </w:p>
        </w:tc>
      </w:tr>
    </w:tbl>
    <w:p>
      <w:pPr>
        <w:spacing w:after="60" w:before="60"/>
      </w:pPr>
      <w:r>
        <w:t xml:space="preserve"/>
      </w:r>
    </w:p>
    <w:p>
      <w:pPr>
        <w:spacing w:after="80" w:before="160"/>
      </w:pPr>
      <w:r>
        <w:rPr>
          <w:b/>
          <w:bCs/>
          <w:color w:val="1A2B3C"/>
          <w:sz w:val="22"/>
          <w:szCs w:val="22"/>
        </w:rPr>
        <w:t xml:space="preserve">2. Direct outreach (LinkedIn, email, calls)</w:t>
      </w:r>
    </w:p>
    <w:tbl>
      <w:tblPr>
        <w:tblW w:type="dxa" w:w="10080"/>
        <w:tblBorders>
          <w:top w:val="single" w:color="D0D5DD" w:sz="4"/>
          <w:left w:val="single" w:color="D0D5DD" w:sz="4"/>
          <w:bottom w:val="single" w:color="D0D5DD" w:sz="4"/>
          <w:right w:val="single" w:color="D0D5DD" w:sz="4"/>
          <w:insideH w:val="single" w:color="auto" w:sz="4"/>
          <w:insideV w:val="single" w:color="auto" w:sz="4"/>
        </w:tblBorders>
      </w:tblPr>
      <w:tblGrid>
        <w:gridCol w:w="1800"/>
        <w:gridCol w:w="8280"/>
      </w:tblGrid>
      <w:tr>
        <w:trPr>
          <w:cantSplit/>
        </w:trPr>
        <w:tc>
          <w:tcPr>
            <w:tcW w:type="dxa" w:w="1800"/>
            <w:tcBorders>
              <w:top w:val="single" w:color="D0D5DD" w:sz="4"/>
              <w:left w:val="single" w:color="D0D5DD" w:sz="4"/>
              <w:bottom w:val="single" w:color="D0D5DD" w:sz="4"/>
              <w:right w:val="single" w:color="D0D5DD" w:sz="4"/>
            </w:tcBorders>
            <w:shd w:fill="FCEBEB" w:val="clear"/>
            <w:tcMar>
              <w:top w:type="dxa" w:w="120"/>
              <w:left w:type="dxa" w:w="160"/>
              <w:bottom w:type="dxa" w:w="120"/>
              <w:right w:type="dxa" w:w="160"/>
            </w:tcMar>
            <w:vAlign w:val="center"/>
          </w:tcPr>
          <w:p>
            <w:pPr>
              <w:jc w:val="center"/>
            </w:pPr>
            <w:r>
              <w:rPr>
                <w:b/>
                <w:bCs/>
                <w:color w:val="8B0000"/>
                <w:spacing w:val="40"/>
                <w:sz w:val="18"/>
                <w:szCs w:val="18"/>
              </w:rPr>
              <w:t xml:space="preserve">LOW</w:t>
            </w:r>
          </w:p>
        </w:tc>
        <w:tc>
          <w:tcPr>
            <w:tcW w:type="dxa" w:w="8280"/>
            <w:tcBorders>
              <w:top w:val="single" w:color="D0D5DD" w:sz="4"/>
              <w:left w:val="single" w:color="D0D5DD" w:sz="4"/>
              <w:bottom w:val="single" w:color="D0D5DD" w:sz="4"/>
              <w:right w:val="single" w:color="D0D5DD" w:sz="4"/>
            </w:tcBorders>
            <w:shd w:fill="FFFFFF" w:val="clear"/>
            <w:tcMar>
              <w:top w:type="dxa" w:w="120"/>
              <w:left w:type="dxa" w:w="200"/>
              <w:bottom w:type="dxa" w:w="120"/>
              <w:right w:type="dxa" w:w="200"/>
            </w:tcMar>
            <w:vAlign w:val="top"/>
          </w:tcPr>
          <w:p>
            <w:r>
              <w:rPr>
                <w:color w:val="3A4A5C"/>
                <w:sz w:val="16"/>
                <w:szCs w:val="16"/>
              </w:rPr>
              <w:t xml:space="preserve">⚠️ PE-GATED — DIRECT OUTREACH DISCOURAGED. Neighborly brand-corp leadership accessible via LinkedIn but direct cold outreach risks fragmenting the strategic PE-gated approach. Reserved for AFTER warm path establishes preliminary brand-corp interest. Independent direct outreach to Neighborly brand presidents without coordination through Charles/KKR pathway is OUT of scope.</w:t>
            </w:r>
          </w:p>
        </w:tc>
      </w:tr>
    </w:tbl>
    <w:p>
      <w:pPr>
        <w:spacing w:after="60" w:before="60"/>
      </w:pPr>
      <w:r>
        <w:t xml:space="preserve"/>
      </w:r>
    </w:p>
    <w:p>
      <w:pPr>
        <w:spacing w:after="80" w:before="160"/>
      </w:pPr>
      <w:r>
        <w:rPr>
          <w:b/>
          <w:bCs/>
          <w:color w:val="1A2B3C"/>
          <w:sz w:val="22"/>
          <w:szCs w:val="22"/>
        </w:rPr>
        <w:t xml:space="preserve">3. Earned media (trade press, podcasts)</w:t>
      </w:r>
    </w:p>
    <w:tbl>
      <w:tblPr>
        <w:tblW w:type="dxa" w:w="10080"/>
        <w:tblBorders>
          <w:top w:val="single" w:color="D0D5DD" w:sz="4"/>
          <w:left w:val="single" w:color="D0D5DD" w:sz="4"/>
          <w:bottom w:val="single" w:color="D0D5DD" w:sz="4"/>
          <w:right w:val="single" w:color="D0D5DD" w:sz="4"/>
          <w:insideH w:val="single" w:color="auto" w:sz="4"/>
          <w:insideV w:val="single" w:color="auto" w:sz="4"/>
        </w:tblBorders>
      </w:tblPr>
      <w:tblGrid>
        <w:gridCol w:w="1800"/>
        <w:gridCol w:w="8280"/>
      </w:tblGrid>
      <w:tr>
        <w:trPr>
          <w:cantSplit/>
        </w:trPr>
        <w:tc>
          <w:tcPr>
            <w:tcW w:type="dxa" w:w="1800"/>
            <w:tcBorders>
              <w:top w:val="single" w:color="D0D5DD" w:sz="4"/>
              <w:left w:val="single" w:color="D0D5DD" w:sz="4"/>
              <w:bottom w:val="single" w:color="D0D5DD" w:sz="4"/>
              <w:right w:val="single" w:color="D0D5DD" w:sz="4"/>
            </w:tcBorders>
            <w:shd w:fill="FFF4E5" w:val="clear"/>
            <w:tcMar>
              <w:top w:type="dxa" w:w="120"/>
              <w:left w:type="dxa" w:w="160"/>
              <w:bottom w:type="dxa" w:w="120"/>
              <w:right w:type="dxa" w:w="160"/>
            </w:tcMar>
            <w:vAlign w:val="center"/>
          </w:tcPr>
          <w:p>
            <w:pPr>
              <w:jc w:val="center"/>
            </w:pPr>
            <w:r>
              <w:rPr>
                <w:b/>
                <w:bCs/>
                <w:color w:val="C8501F"/>
                <w:spacing w:val="40"/>
                <w:sz w:val="18"/>
                <w:szCs w:val="18"/>
              </w:rPr>
              <w:t xml:space="preserve">MEDIUM</w:t>
            </w:r>
          </w:p>
        </w:tc>
        <w:tc>
          <w:tcPr>
            <w:tcW w:type="dxa" w:w="8280"/>
            <w:tcBorders>
              <w:top w:val="single" w:color="D0D5DD" w:sz="4"/>
              <w:left w:val="single" w:color="D0D5DD" w:sz="4"/>
              <w:bottom w:val="single" w:color="D0D5DD" w:sz="4"/>
              <w:right w:val="single" w:color="D0D5DD" w:sz="4"/>
            </w:tcBorders>
            <w:shd w:fill="FFFFFF" w:val="clear"/>
            <w:tcMar>
              <w:top w:type="dxa" w:w="120"/>
              <w:left w:type="dxa" w:w="200"/>
              <w:bottom w:type="dxa" w:w="120"/>
              <w:right w:type="dxa" w:w="200"/>
            </w:tcMar>
            <w:vAlign w:val="top"/>
          </w:tcPr>
          <w:p>
            <w:r>
              <w:rPr>
                <w:color w:val="3A4A5C"/>
                <w:sz w:val="16"/>
                <w:szCs w:val="16"/>
              </w:rPr>
              <w:t xml:space="preserve">Pest control vertical: PCT Magazine (Pest Control Technology), Pest Management Professional. NPMA publications. Joint thought leadership with parent Neighborly content (Bidwell legacy stories carefully handled, Mike Bidwell's passing Sept 2023 sensitive context). Franchise vertical: Franchise Times, Entrepreneur Franchise 500. Parent franchisor narrative dominates over brand-corp specifics.</w:t>
            </w:r>
          </w:p>
        </w:tc>
      </w:tr>
    </w:tbl>
    <w:p>
      <w:pPr>
        <w:spacing w:after="60" w:before="60"/>
      </w:pPr>
      <w:r>
        <w:t xml:space="preserve"/>
      </w:r>
    </w:p>
    <w:p>
      <w:pPr>
        <w:spacing w:after="80" w:before="160"/>
      </w:pPr>
      <w:r>
        <w:rPr>
          <w:b/>
          <w:bCs/>
          <w:color w:val="1A2B3C"/>
          <w:sz w:val="22"/>
          <w:szCs w:val="22"/>
        </w:rPr>
        <w:t xml:space="preserve">4. Physical touches (mail, gifts, events)</w:t>
      </w:r>
    </w:p>
    <w:tbl>
      <w:tblPr>
        <w:tblW w:type="dxa" w:w="10080"/>
        <w:tblBorders>
          <w:top w:val="single" w:color="D0D5DD" w:sz="4"/>
          <w:left w:val="single" w:color="D0D5DD" w:sz="4"/>
          <w:bottom w:val="single" w:color="D0D5DD" w:sz="4"/>
          <w:right w:val="single" w:color="D0D5DD" w:sz="4"/>
          <w:insideH w:val="single" w:color="auto" w:sz="4"/>
          <w:insideV w:val="single" w:color="auto" w:sz="4"/>
        </w:tblBorders>
      </w:tblPr>
      <w:tblGrid>
        <w:gridCol w:w="1800"/>
        <w:gridCol w:w="8280"/>
      </w:tblGrid>
      <w:tr>
        <w:trPr>
          <w:cantSplit/>
        </w:trPr>
        <w:tc>
          <w:tcPr>
            <w:tcW w:type="dxa" w:w="1800"/>
            <w:tcBorders>
              <w:top w:val="single" w:color="D0D5DD" w:sz="4"/>
              <w:left w:val="single" w:color="D0D5DD" w:sz="4"/>
              <w:bottom w:val="single" w:color="D0D5DD" w:sz="4"/>
              <w:right w:val="single" w:color="D0D5DD" w:sz="4"/>
            </w:tcBorders>
            <w:shd w:fill="EAF3DE" w:val="clear"/>
            <w:tcMar>
              <w:top w:type="dxa" w:w="120"/>
              <w:left w:type="dxa" w:w="160"/>
              <w:bottom w:type="dxa" w:w="120"/>
              <w:right w:type="dxa" w:w="160"/>
            </w:tcMar>
            <w:vAlign w:val="center"/>
          </w:tcPr>
          <w:p>
            <w:pPr>
              <w:jc w:val="center"/>
            </w:pPr>
            <w:r>
              <w:rPr>
                <w:b/>
                <w:bCs/>
                <w:color w:val="27500A"/>
                <w:spacing w:val="40"/>
                <w:sz w:val="18"/>
                <w:szCs w:val="18"/>
              </w:rPr>
              <w:t xml:space="preserve">MEDIUM-HIGH</w:t>
            </w:r>
          </w:p>
        </w:tc>
        <w:tc>
          <w:tcPr>
            <w:tcW w:type="dxa" w:w="8280"/>
            <w:tcBorders>
              <w:top w:val="single" w:color="D0D5DD" w:sz="4"/>
              <w:left w:val="single" w:color="D0D5DD" w:sz="4"/>
              <w:bottom w:val="single" w:color="D0D5DD" w:sz="4"/>
              <w:right w:val="single" w:color="D0D5DD" w:sz="4"/>
            </w:tcBorders>
            <w:shd w:fill="FFFFFF" w:val="clear"/>
            <w:tcMar>
              <w:top w:type="dxa" w:w="120"/>
              <w:left w:type="dxa" w:w="200"/>
              <w:bottom w:type="dxa" w:w="120"/>
              <w:right w:type="dxa" w:w="200"/>
            </w:tcMar>
            <w:vAlign w:val="top"/>
          </w:tcPr>
          <w:p>
            <w:r>
              <w:rPr>
                <w:color w:val="3A4A5C"/>
                <w:sz w:val="16"/>
                <w:szCs w:val="16"/>
              </w:rPr>
              <w:t xml:space="preserve">Neighborly hosts portfolio-wide franchisee events (Reunion, regional summits) — high-leverage venues but require Neighborly-level coordination. Pest industry: NPMA PestWorld, regional pest management conferences. Franchise: IFA Annual Convention. America 250 letter campaign reaches Neighborly portfolio — coordinate brand-corp specific reinforcement through parent channel.</w:t>
            </w:r>
          </w:p>
        </w:tc>
      </w:tr>
    </w:tbl>
    <w:p>
      <w:pPr>
        <w:spacing w:after="60" w:before="60"/>
      </w:pPr>
      <w:r>
        <w:t xml:space="preserve"/>
      </w:r>
    </w:p>
    <w:p>
      <w:pPr>
        <w:spacing w:after="80" w:before="160"/>
      </w:pPr>
      <w:r>
        <w:rPr>
          <w:b/>
          <w:bCs/>
          <w:color w:val="1A2B3C"/>
          <w:sz w:val="22"/>
          <w:szCs w:val="22"/>
        </w:rPr>
        <w:t xml:space="preserve">5. Inbound signal building (engaging their content, amplifying their voice)</w:t>
      </w:r>
    </w:p>
    <w:tbl>
      <w:tblPr>
        <w:tblW w:type="dxa" w:w="10080"/>
        <w:tblBorders>
          <w:top w:val="single" w:color="D0D5DD" w:sz="4"/>
          <w:left w:val="single" w:color="D0D5DD" w:sz="4"/>
          <w:bottom w:val="single" w:color="D0D5DD" w:sz="4"/>
          <w:right w:val="single" w:color="D0D5DD" w:sz="4"/>
          <w:insideH w:val="single" w:color="auto" w:sz="4"/>
          <w:insideV w:val="single" w:color="auto" w:sz="4"/>
        </w:tblBorders>
      </w:tblPr>
      <w:tblGrid>
        <w:gridCol w:w="1800"/>
        <w:gridCol w:w="8280"/>
      </w:tblGrid>
      <w:tr>
        <w:trPr>
          <w:cantSplit/>
        </w:trPr>
        <w:tc>
          <w:tcPr>
            <w:tcW w:type="dxa" w:w="1800"/>
            <w:tcBorders>
              <w:top w:val="single" w:color="D0D5DD" w:sz="4"/>
              <w:left w:val="single" w:color="D0D5DD" w:sz="4"/>
              <w:bottom w:val="single" w:color="D0D5DD" w:sz="4"/>
              <w:right w:val="single" w:color="D0D5DD" w:sz="4"/>
            </w:tcBorders>
            <w:shd w:fill="FFF4E5" w:val="clear"/>
            <w:tcMar>
              <w:top w:type="dxa" w:w="120"/>
              <w:left w:type="dxa" w:w="160"/>
              <w:bottom w:type="dxa" w:w="120"/>
              <w:right w:type="dxa" w:w="160"/>
            </w:tcMar>
            <w:vAlign w:val="center"/>
          </w:tcPr>
          <w:p>
            <w:pPr>
              <w:jc w:val="center"/>
            </w:pPr>
            <w:r>
              <w:rPr>
                <w:b/>
                <w:bCs/>
                <w:color w:val="C8501F"/>
                <w:spacing w:val="40"/>
                <w:sz w:val="18"/>
                <w:szCs w:val="18"/>
              </w:rPr>
              <w:t xml:space="preserve">MEDIUM</w:t>
            </w:r>
          </w:p>
        </w:tc>
        <w:tc>
          <w:tcPr>
            <w:tcW w:type="dxa" w:w="8280"/>
            <w:tcBorders>
              <w:top w:val="single" w:color="D0D5DD" w:sz="4"/>
              <w:left w:val="single" w:color="D0D5DD" w:sz="4"/>
              <w:bottom w:val="single" w:color="D0D5DD" w:sz="4"/>
              <w:right w:val="single" w:color="D0D5DD" w:sz="4"/>
            </w:tcBorders>
            <w:shd w:fill="FFFFFF" w:val="clear"/>
            <w:tcMar>
              <w:top w:type="dxa" w:w="120"/>
              <w:left w:type="dxa" w:w="200"/>
              <w:bottom w:type="dxa" w:w="120"/>
              <w:right w:type="dxa" w:w="200"/>
            </w:tcMar>
            <w:vAlign w:val="top"/>
          </w:tcPr>
          <w:p>
            <w:r>
              <w:rPr>
                <w:color w:val="3A4A5C"/>
                <w:sz w:val="16"/>
                <w:szCs w:val="16"/>
              </w:rPr>
              <w:t xml:space="preserve">Neighborly executive content (Mike Hay CEO, Gagan Sinha CIO) is the primary engagement target — amplifying parent-franchisor thought leadership warms the portfolio path. Brand-specific brand-corp social presence likely modest. Use parent narrative as the inbound surface.</w:t>
            </w:r>
          </w:p>
        </w:tc>
      </w:tr>
    </w:tbl>
    <w:p>
      <w:pPr>
        <w:spacing w:after="160" w:before="160"/>
      </w:pPr>
      <w:r>
        <w:t xml:space="preserve"/>
      </w:r>
    </w:p>
    <w:p>
      <w:pPr>
        <w:spacing w:after="120" w:before="240"/>
      </w:pPr>
      <w:r>
        <w:rPr>
          <w:b/>
          <w:bCs/>
          <w:color w:val="1A2B3C"/>
          <w:sz w:val="28"/>
          <w:szCs w:val="28"/>
        </w:rPr>
        <w:t xml:space="preserve">💼  What's in this for the brand</w:t>
      </w:r>
    </w:p>
    <w:p>
      <w:pPr>
        <w:spacing w:after="120"/>
      </w:pPr>
      <w:r>
        <w:rPr>
          <w:color w:val="3A4A5C"/>
          <w:sz w:val="19"/>
          <w:szCs w:val="19"/>
        </w:rPr>
        <w:t xml:space="preserve">Operational ROI framing for the brand-corp audience. Brand presidents care about franchisee unit economics, royalty stream uplift, retention, and recruitment. They do not care about parent-franchisor exit math. Keep this section operational, not strategic.</w:t>
      </w:r>
    </w:p>
    <w:p>
      <w:pPr>
        <w:spacing w:after="80" w:before="80"/>
      </w:pPr>
      <w:r>
        <w:t xml:space="preserve"/>
      </w:r>
    </w:p>
    <w:p>
      <w:pPr>
        <w:spacing w:after="80" w:before="160"/>
      </w:pPr>
      <w:r>
        <w:rPr>
          <w:b/>
          <w:bCs/>
          <w:color w:val="1A2B3C"/>
          <w:sz w:val="22"/>
          <w:szCs w:val="22"/>
        </w:rPr>
        <w:t xml:space="preserve">Per-franchisee operational ROI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4780"/>
      </w:tblGrid>
      <w:tr>
        <w:trPr>
          <w:tblHeader/>
        </w:trPr>
        <w:tc>
          <w:tcPr>
            <w:tcW w:type="dxa" w:w="3500"/>
            <w:tcBorders>
              <w:top w:val="single" w:color="1A2B3C" w:sz="4"/>
              <w:left w:val="single" w:color="1A2B3C" w:sz="4"/>
              <w:bottom w:val="single" w:color="1A2B3C" w:sz="4"/>
              <w:right w:val="single" w:color="1A2B3C" w:sz="4"/>
            </w:tcBorders>
            <w:shd w:fill="1A2B3C" w:val="clear"/>
            <w:tcMar>
              <w:top w:type="dxa" w:w="70"/>
              <w:left w:type="dxa" w:w="120"/>
              <w:bottom w:type="dxa" w:w="70"/>
              <w:right w:type="dxa" w:w="120"/>
            </w:tcMar>
            <w:vAlign w:val="center"/>
          </w:tcPr>
          <w:p>
            <w:r>
              <w:rPr>
                <w:b/>
                <w:bCs/>
                <w:color w:val="FFFFFF"/>
                <w:spacing w:val="30"/>
                <w:sz w:val="13"/>
                <w:szCs w:val="13"/>
              </w:rPr>
              <w:t xml:space="preserve">LEVER</w:t>
            </w:r>
          </w:p>
        </w:tc>
        <w:tc>
          <w:tcPr>
            <w:tcW w:type="dxa" w:w="1800"/>
            <w:tcBorders>
              <w:top w:val="single" w:color="1A2B3C" w:sz="4"/>
              <w:left w:val="single" w:color="1A2B3C" w:sz="4"/>
              <w:bottom w:val="single" w:color="1A2B3C" w:sz="4"/>
              <w:right w:val="single" w:color="1A2B3C" w:sz="4"/>
            </w:tcBorders>
            <w:shd w:fill="1A2B3C" w:val="clear"/>
            <w:tcMar>
              <w:top w:type="dxa" w:w="70"/>
              <w:left w:type="dxa" w:w="120"/>
              <w:bottom w:type="dxa" w:w="70"/>
              <w:right w:type="dxa" w:w="120"/>
            </w:tcMar>
            <w:vAlign w:val="center"/>
          </w:tcPr>
          <w:p>
            <w:r>
              <w:rPr>
                <w:b/>
                <w:bCs/>
                <w:color w:val="FFFFFF"/>
                <w:spacing w:val="30"/>
                <w:sz w:val="13"/>
                <w:szCs w:val="13"/>
              </w:rPr>
              <w:t xml:space="preserve">MOSQUITO JOE (NON-ST) VALUE</w:t>
            </w:r>
          </w:p>
        </w:tc>
        <w:tc>
          <w:tcPr>
            <w:tcW w:type="dxa" w:w="4780"/>
            <w:tcBorders>
              <w:top w:val="single" w:color="1A2B3C" w:sz="4"/>
              <w:left w:val="single" w:color="1A2B3C" w:sz="4"/>
              <w:bottom w:val="single" w:color="1A2B3C" w:sz="4"/>
              <w:right w:val="single" w:color="1A2B3C" w:sz="4"/>
            </w:tcBorders>
            <w:shd w:fill="1A2B3C" w:val="clear"/>
            <w:tcMar>
              <w:top w:type="dxa" w:w="70"/>
              <w:left w:type="dxa" w:w="120"/>
              <w:bottom w:type="dxa" w:w="70"/>
              <w:right w:type="dxa" w:w="120"/>
            </w:tcMar>
            <w:vAlign w:val="center"/>
          </w:tcPr>
          <w:p>
            <w:r>
              <w:rPr>
                <w:b/>
                <w:bCs/>
                <w:color w:val="FFFFFF"/>
                <w:spacing w:val="30"/>
                <w:sz w:val="13"/>
                <w:szCs w:val="13"/>
              </w:rPr>
              <w:t xml:space="preserve">MATH</w:t>
            </w:r>
          </w:p>
        </w:tc>
      </w:tr>
      <w:tr>
        <w:trPr>
          <w:cantSplit/>
        </w:trPr>
        <w:tc>
          <w:tcPr>
            <w:tcW w:type="dxa" w:w="35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center"/>
          </w:tcPr>
          <w:p>
            <w:r>
              <w:rPr>
                <w:b/>
                <w:bCs/>
                <w:color w:val="1A2B3C"/>
                <w:sz w:val="16"/>
                <w:szCs w:val="16"/>
              </w:rPr>
              <w:t xml:space="preserve">EBITDA improvement per tech / yr</w:t>
            </w:r>
          </w:p>
        </w:tc>
        <w:tc>
          <w:tcPr>
            <w:tcW w:type="dxa" w:w="18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center"/>
          </w:tcPr>
          <w:p>
            <w:r>
              <w:rPr>
                <w:b/>
                <w:bCs/>
                <w:color w:val="1A2B3C"/>
                <w:sz w:val="18"/>
                <w:szCs w:val="18"/>
              </w:rPr>
              <w:t xml:space="preserve">$6K</w:t>
            </w:r>
          </w:p>
        </w:tc>
        <w:tc>
          <w:tcPr>
            <w:tcW w:type="dxa" w:w="478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center"/>
          </w:tcPr>
          <w:p>
            <w:r>
              <w:rPr>
                <w:b w:val="false"/>
                <w:bCs w:val="false"/>
                <w:color w:val="3A4A5C"/>
                <w:sz w:val="14"/>
                <w:szCs w:val="14"/>
              </w:rPr>
              <w:t xml:space="preserve">Recurring route efficiency · customer retention · billing capture (lower than HVAC due to less dispatch complexity)</w:t>
            </w:r>
          </w:p>
        </w:tc>
      </w:tr>
      <w:tr>
        <w:trPr>
          <w:cantSplit/>
        </w:trPr>
        <w:tc>
          <w:tcPr>
            <w:tcW w:type="dxa" w:w="35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center"/>
          </w:tcPr>
          <w:p>
            <w:r>
              <w:rPr>
                <w:b/>
                <w:bCs/>
                <w:color w:val="1A2B3C"/>
                <w:sz w:val="16"/>
                <w:szCs w:val="16"/>
              </w:rPr>
              <w:t xml:space="preserve">Network EBITDA improvement (Mosquito Joe (non-ST) scale, full adoption)</w:t>
            </w:r>
          </w:p>
        </w:tc>
        <w:tc>
          <w:tcPr>
            <w:tcW w:type="dxa" w:w="18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center"/>
          </w:tcPr>
          <w:p>
            <w:r>
              <w:rPr>
                <w:b/>
                <w:bCs/>
                <w:color w:val="1A2B3C"/>
                <w:sz w:val="18"/>
                <w:szCs w:val="18"/>
              </w:rPr>
              <w:t xml:space="preserve">$1.4M / yr (non-ST subset only)</w:t>
            </w:r>
          </w:p>
        </w:tc>
        <w:tc>
          <w:tcPr>
            <w:tcW w:type="dxa" w:w="478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center"/>
          </w:tcPr>
          <w:p>
            <w:r>
              <w:rPr>
                <w:b w:val="false"/>
                <w:bCs w:val="false"/>
                <w:color w:val="3A4A5C"/>
                <w:sz w:val="14"/>
                <w:szCs w:val="14"/>
              </w:rPr>
              <w:t xml:space="preserve">~240 techs × $6K (pest control vertical normalization)</w:t>
            </w:r>
          </w:p>
        </w:tc>
      </w:tr>
      <w:tr>
        <w:trPr>
          <w:cantSplit/>
        </w:trPr>
        <w:tc>
          <w:tcPr>
            <w:tcW w:type="dxa" w:w="35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center"/>
          </w:tcPr>
          <w:p>
            <w:r>
              <w:rPr>
                <w:b/>
                <w:bCs/>
                <w:color w:val="1A2B3C"/>
                <w:sz w:val="16"/>
                <w:szCs w:val="16"/>
              </w:rPr>
              <w:t xml:space="preserve">Royalty stream uplift to brand corp (~6%)</w:t>
            </w:r>
          </w:p>
        </w:tc>
        <w:tc>
          <w:tcPr>
            <w:tcW w:type="dxa" w:w="18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center"/>
          </w:tcPr>
          <w:p>
            <w:r>
              <w:rPr>
                <w:b/>
                <w:bCs/>
                <w:color w:val="1A2B3C"/>
                <w:sz w:val="18"/>
                <w:szCs w:val="18"/>
              </w:rPr>
              <w:t xml:space="preserve">$84K / yr</w:t>
            </w:r>
          </w:p>
        </w:tc>
        <w:tc>
          <w:tcPr>
            <w:tcW w:type="dxa" w:w="478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center"/>
          </w:tcPr>
          <w:p>
            <w:r>
              <w:rPr>
                <w:b w:val="false"/>
                <w:bCs w:val="false"/>
                <w:color w:val="3A4A5C"/>
                <w:sz w:val="14"/>
                <w:szCs w:val="14"/>
              </w:rPr>
              <w:t xml:space="preserve">Direct uplift to brand-corp economics (~6%) on non-ST subset</w:t>
            </w:r>
          </w:p>
        </w:tc>
      </w:tr>
      <w:tr>
        <w:trPr>
          <w:cantSplit/>
        </w:trPr>
        <w:tc>
          <w:tcPr>
            <w:tcW w:type="dxa" w:w="35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center"/>
          </w:tcPr>
          <w:p>
            <w:r>
              <w:rPr>
                <w:b/>
                <w:bCs/>
                <w:color w:val="1A2B3C"/>
                <w:sz w:val="16"/>
                <w:szCs w:val="16"/>
              </w:rPr>
              <w:t xml:space="preserve">Y1 ARR contribution to Neighborly portfolio (10% penetration)</w:t>
            </w:r>
          </w:p>
        </w:tc>
        <w:tc>
          <w:tcPr>
            <w:tcW w:type="dxa" w:w="18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center"/>
          </w:tcPr>
          <w:p>
            <w:r>
              <w:rPr>
                <w:b/>
                <w:bCs/>
                <w:color w:val="1A2B3C"/>
                <w:sz w:val="18"/>
                <w:szCs w:val="18"/>
              </w:rPr>
              <w:t xml:space="preserve">$7,200</w:t>
            </w:r>
          </w:p>
        </w:tc>
        <w:tc>
          <w:tcPr>
            <w:tcW w:type="dxa" w:w="478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center"/>
          </w:tcPr>
          <w:p>
            <w:r>
              <w:rPr>
                <w:b w:val="false"/>
                <w:bCs w:val="false"/>
                <w:color w:val="3A4A5C"/>
                <w:sz w:val="14"/>
                <w:szCs w:val="14"/>
              </w:rPr>
              <w:t xml:space="preserve">24 techs × $300/tech/yr SB pricing — first-year achievable at 10% penetration</w:t>
            </w:r>
          </w:p>
        </w:tc>
      </w:tr>
      <w:tr>
        <w:trPr>
          <w:cantSplit/>
        </w:trPr>
        <w:tc>
          <w:tcPr>
            <w:tcW w:type="dxa" w:w="35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center"/>
          </w:tcPr>
          <w:p>
            <w:r>
              <w:rPr>
                <w:b/>
                <w:bCs/>
                <w:color w:val="1A2B3C"/>
                <w:sz w:val="16"/>
                <w:szCs w:val="16"/>
              </w:rPr>
              <w:t xml:space="preserve">Implementation timeline</w:t>
            </w:r>
          </w:p>
        </w:tc>
        <w:tc>
          <w:tcPr>
            <w:tcW w:type="dxa" w:w="18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center"/>
          </w:tcPr>
          <w:p>
            <w:r>
              <w:rPr>
                <w:b/>
                <w:bCs/>
                <w:color w:val="1A2B3C"/>
                <w:sz w:val="18"/>
                <w:szCs w:val="18"/>
              </w:rPr>
              <w:t xml:space="preserve">30-day pilot, 90-day full deployment</w:t>
            </w:r>
          </w:p>
        </w:tc>
        <w:tc>
          <w:tcPr>
            <w:tcW w:type="dxa" w:w="478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center"/>
          </w:tcPr>
          <w:p>
            <w:r>
              <w:rPr>
                <w:b w:val="false"/>
                <w:bCs w:val="false"/>
                <w:color w:val="3A4A5C"/>
                <w:sz w:val="14"/>
                <w:szCs w:val="14"/>
              </w:rPr>
              <w:t xml:space="preserve">Standard SB onboarding · pest-route scheduling customization · PE-gated coordination adds upstream timeline</w:t>
            </w:r>
          </w:p>
        </w:tc>
      </w:tr>
    </w:tbl>
    <w:p>
      <w:pPr>
        <w:spacing w:after="120" w:before="120"/>
      </w:pPr>
      <w:r>
        <w:t xml:space="preserve"/>
      </w:r>
    </w:p>
    <w:p>
      <w:pPr>
        <w:spacing w:after="80" w:before="160"/>
      </w:pPr>
      <w:r>
        <w:rPr>
          <w:b/>
          <w:bCs/>
          <w:color w:val="1A2B3C"/>
          <w:sz w:val="22"/>
          <w:szCs w:val="22"/>
        </w:rPr>
        <w:t xml:space="preserve">Retention and recruitment narrative</w:t>
      </w:r>
    </w:p>
    <w:p>
      <w:pPr>
        <w:pStyle w:val="ListParagraph"/>
        <w:numPr>
          <w:ilvl w:val="0"/>
          <w:numId w:val="2"/>
        </w:numPr>
        <w:spacing w:after="80"/>
      </w:pPr>
      <w:r>
        <w:rPr>
          <w:color w:val="3A4A5C"/>
          <w:sz w:val="19"/>
          <w:szCs w:val="19"/>
        </w:rPr>
        <w:t xml:space="preserve">Franchisee retention: pest-control franchisees in non-ST subset benefit from platform flexibility. Brand-led FSM via PE-gated pathway formalizes this.</w:t>
      </w:r>
    </w:p>
    <w:p>
      <w:pPr>
        <w:pStyle w:val="ListParagraph"/>
        <w:numPr>
          <w:ilvl w:val="0"/>
          <w:numId w:val="2"/>
        </w:numPr>
        <w:spacing w:after="80"/>
      </w:pPr>
      <w:r>
        <w:rPr>
          <w:color w:val="3A4A5C"/>
          <w:sz w:val="19"/>
          <w:szCs w:val="19"/>
        </w:rPr>
        <w:t xml:space="preserve">Franchisee recruitment: prospective pest-control franchisees evaluate platform tooling but at lower priority than HVAC/plumbing prospects.</w:t>
      </w:r>
    </w:p>
    <w:p>
      <w:pPr>
        <w:pStyle w:val="ListParagraph"/>
        <w:numPr>
          <w:ilvl w:val="0"/>
          <w:numId w:val="2"/>
        </w:numPr>
        <w:spacing w:after="80"/>
      </w:pPr>
      <w:r>
        <w:rPr>
          <w:color w:val="3A4A5C"/>
          <w:sz w:val="19"/>
          <w:szCs w:val="19"/>
        </w:rPr>
        <w:t xml:space="preserve">Reporting visibility: Neighborly currently has limited brand-corp visibility into non-ST subset pest operations. Modest uplift from standardized reporting.</w:t>
      </w:r>
    </w:p>
    <w:p>
      <w:pPr>
        <w:spacing w:after="120" w:before="120"/>
      </w:pPr>
      <w:r>
        <w:t xml:space="preserve"/>
      </w:r>
    </w:p>
    <w:p>
      <w:pPr>
        <w:spacing w:after="80" w:before="160"/>
      </w:pPr>
      <w:r>
        <w:rPr>
          <w:b/>
          <w:bCs/>
          <w:color w:val="1A2B3C"/>
          <w:sz w:val="22"/>
          <w:szCs w:val="22"/>
        </w:rPr>
        <w:t xml:space="preserve">Bridge upward — parent franchisor narrative</w:t>
      </w:r>
    </w:p>
    <w:tbl>
      <w:tblPr>
        <w:tblW w:type="dxa" w:w="10080"/>
        <w:tblBorders>
          <w:top w:val="single" w:color="D0D5DD" w:sz="6"/>
          <w:left w:val="single" w:color="D0D5DD" w:sz="6"/>
          <w:bottom w:val="single" w:color="D0D5DD" w:sz="6"/>
          <w:right w:val="single" w:color="D0D5DD" w:sz="6"/>
          <w:insideH w:val="single" w:color="auto" w:sz="4"/>
          <w:insideV w:val="single" w:color="auto" w:sz="4"/>
        </w:tblBorders>
      </w:tblPr>
      <w:tblGrid>
        <w:gridCol w:w="10080"/>
      </w:tblGrid>
      <w:tr>
        <w:tc>
          <w:tcPr>
            <w:tcW w:type="dxa" w:w="10080"/>
            <w:shd w:fill="F5F6F8" w:val="clear"/>
            <w:tcMar>
              <w:top w:type="dxa" w:w="200"/>
              <w:left w:type="dxa" w:w="280"/>
              <w:bottom w:type="dxa" w:w="200"/>
              <w:right w:type="dxa" w:w="280"/>
            </w:tcMar>
          </w:tcPr>
          <w:p>
            <w:pPr>
              <w:spacing w:after="100"/>
            </w:pPr>
            <w:r>
              <w:rPr>
                <w:color w:val="3A4A5C"/>
                <w:sz w:val="19"/>
                <w:szCs w:val="19"/>
              </w:rPr>
              <w:t xml:space="preserve">Brand-corp commitments at Mosquito Joe (non-ST) are the smallest contributor among Neighborly non-ST subsets to portfolio narrative. Coordinated engagement across all three non-ST subsets builds the Neighborly portfolio adoption pattern that bridges to KKR pre-exit narrative. Internal; not foregrounded.</w:t>
            </w:r>
          </w:p>
        </w:tc>
      </w:tr>
    </w:tbl>
    <w:p>
      <w:pPr>
        <w:spacing w:after="120" w:before="120"/>
      </w:pPr>
      <w:r>
        <w:t xml:space="preserve"/>
      </w:r>
    </w:p>
    <w:p>
      <w:pPr>
        <w:spacing w:after="120" w:before="240"/>
      </w:pPr>
      <w:r>
        <w:rPr>
          <w:b/>
          <w:bCs/>
          <w:color w:val="1A2B3C"/>
          <w:sz w:val="28"/>
          <w:szCs w:val="28"/>
        </w:rPr>
        <w:t xml:space="preserve">⚔️  Competitive landscape — brand-level FSM map</w:t>
      </w:r>
    </w:p>
    <w:tbl>
      <w:tblPr>
        <w:tblW w:type="dxa" w:w="10080"/>
        <w:tblBorders>
          <w:top w:val="single" w:color="D0D5DD" w:sz="6"/>
          <w:left w:val="single" w:color="D0D5DD" w:sz="6"/>
          <w:bottom w:val="single" w:color="D0D5DD" w:sz="6"/>
          <w:right w:val="single" w:color="D0D5DD" w:sz="6"/>
          <w:insideH w:val="single" w:color="auto" w:sz="4"/>
          <w:insideV w:val="single" w:color="auto" w:sz="4"/>
        </w:tblBorders>
      </w:tblPr>
      <w:tblGrid>
        <w:gridCol w:w="10080"/>
      </w:tblGrid>
      <w:tr>
        <w:tc>
          <w:tcPr>
            <w:tcW w:type="dxa" w:w="10080"/>
            <w:shd w:fill="F5F6F8" w:val="clear"/>
            <w:tcMar>
              <w:top w:type="dxa" w:w="200"/>
              <w:left w:type="dxa" w:w="280"/>
              <w:bottom w:type="dxa" w:w="200"/>
              <w:right w:type="dxa" w:w="280"/>
            </w:tcMar>
          </w:tcPr>
          <w:p>
            <w:pPr>
              <w:spacing w:after="100"/>
            </w:pPr>
            <w:r>
              <w:rPr>
                <w:b/>
                <w:bCs/>
                <w:color w:val="1A2B3C"/>
                <w:sz w:val="22"/>
                <w:szCs w:val="22"/>
              </w:rPr>
              <w:t xml:space="preserve">Mosquito Joe (non-ST) FSM posture: MIXED (within non-ST carve-out)</w:t>
            </w:r>
          </w:p>
          <w:p>
            <w:pPr>
              <w:spacing w:after="100"/>
            </w:pPr>
            <w:r>
              <w:rPr>
                <w:color w:val="3A4A5C"/>
                <w:sz w:val="19"/>
                <w:szCs w:val="19"/>
              </w:rPr>
              <w:t xml:space="preserve">Mosquito Joe (non-ST) operates in MIXED posture — neither strict mandate nor strict greenfield. FieldRoutes/ST flag unconfirmed at the brand-corp mandate level.</w:t>
            </w:r>
          </w:p>
          <w:p>
            <w:pPr>
              <w:spacing w:after="100"/>
            </w:pPr>
            <w:r>
              <w:rPr>
                <w:color w:val="3A4A5C"/>
                <w:sz w:val="19"/>
                <w:szCs w:val="19"/>
              </w:rPr>
              <w:t xml:space="preserve">Generalized framework: brand corps split into four FSM postures — (1) MANDATED, (2) PREFERRED, (3) MIXED, (4) GREENFIELD. Mosquito Joe (non-ST) = MIXED with unconfirmed FieldRoutes/ST flag on broader brand.</w:t>
            </w:r>
          </w:p>
          <w:p>
            <w:pPr>
              <w:spacing w:after="100"/>
            </w:pPr>
            <w:r>
              <w:rPr>
                <w:color w:val="3A4A5C"/>
                <w:sz w:val="19"/>
                <w:szCs w:val="19"/>
              </w:rPr>
              <w:t xml:space="preserve">Competitive risk: FieldRoutes (ST-owned) likely expanding within Mosquito Joe — mandate formalization possible. Engagement window narrows if mandate becomes formal.</w:t>
            </w:r>
          </w:p>
          <w:p>
            <w:pPr>
              <w:spacing w:after="100"/>
            </w:pPr>
            <w:r>
              <w:rPr>
                <w:color w:val="3A4A5C"/>
                <w:sz w:val="19"/>
                <w:szCs w:val="19"/>
              </w:rPr>
              <w:t xml:space="preserve">Coordinate with Aire Serv (non-ST) and Mr. Electric (non-ST) — same brand-corp leadership pattern.</w:t>
            </w:r>
          </w:p>
        </w:tc>
      </w:tr>
    </w:tbl>
    <w:p>
      <w:pPr>
        <w:spacing w:after="120" w:before="120"/>
      </w:pPr>
      <w:r>
        <w:t xml:space="preserve"/>
      </w:r>
    </w:p>
    <w:p>
      <w:pPr>
        <w:spacing w:after="120" w:before="240"/>
      </w:pPr>
      <w:r>
        <w:rPr>
          <w:b/>
          <w:bCs/>
          <w:color w:val="1A2B3C"/>
          <w:sz w:val="28"/>
          <w:szCs w:val="28"/>
        </w:rPr>
        <w:t xml:space="preserve">📐  How we scored this</w:t>
      </w:r>
    </w:p>
    <w:tbl>
      <w:tblPr>
        <w:tblW w:type="dxa" w:w="10080"/>
        <w:tblBorders>
          <w:top w:val="single" w:color="E8D89C" w:sz="6"/>
          <w:left w:val="single" w:color="E8D89C" w:sz="6"/>
          <w:bottom w:val="single" w:color="E8D89C" w:sz="6"/>
          <w:right w:val="single" w:color="E8D89C" w:sz="6"/>
          <w:insideH w:val="single" w:color="auto" w:sz="4"/>
          <w:insideV w:val="single" w:color="auto" w:sz="4"/>
        </w:tblBorders>
      </w:tblPr>
      <w:tblGrid>
        <w:gridCol w:w="10080"/>
      </w:tblGrid>
      <w:tr>
        <w:tc>
          <w:tcPr>
            <w:tcW w:type="dxa" w:w="10080"/>
            <w:shd w:fill="FBF4E0" w:val="clear"/>
            <w:tcMar>
              <w:top w:type="dxa" w:w="200"/>
              <w:left w:type="dxa" w:w="280"/>
              <w:bottom w:type="dxa" w:w="200"/>
              <w:right w:type="dxa" w:w="280"/>
            </w:tcMar>
          </w:tcPr>
          <w:p>
            <w:pPr>
              <w:spacing w:after="100"/>
            </w:pPr>
            <w:r>
              <w:rPr>
                <w:b/>
                <w:bCs/>
                <w:color w:val="1A2B3C"/>
                <w:sz w:val="22"/>
                <w:szCs w:val="22"/>
              </w:rPr>
              <w:t xml:space="preserve">V2 framework calculation for Mosquito Joe (non-ST)</w:t>
            </w:r>
          </w:p>
          <w:p>
            <w:pPr>
              <w:spacing w:after="100"/>
            </w:pPr>
            <w:r>
              <w:rPr>
                <w:color w:val="3A4A5C"/>
                <w:sz w:val="19"/>
                <w:szCs w:val="19"/>
              </w:rPr>
              <w:t xml:space="preserve">V2 brand-corp scoring uses 7 dimensions weighted for brand-corp velocity: Greenfield (30%), Network (15%), PE (10%), DM Access (15%), Urgency (15%), Displacement (5%), C/B Mix (10%) — plus parent-tier inheritance bonus.</w:t>
            </w:r>
          </w:p>
          <w:p>
            <w:pPr>
              <w:spacing w:after="100"/>
            </w:pPr>
            <w:r>
              <w:rPr>
                <w:color w:val="3A4A5C"/>
                <w:sz w:val="19"/>
                <w:szCs w:val="19"/>
              </w:rPr>
              <w:t xml:space="preserve">Mosquito Joe (non-ST) dimension scores: Greenfield 55/100, Network 25/100, PE 90/100, DM Access 40/100, Urgency 60/100, Displacement 25/100, C/B Mix 60/100.</w:t>
            </w:r>
          </w:p>
          <w:p>
            <w:pPr>
              <w:spacing w:after="100"/>
            </w:pPr>
            <w:r>
              <w:rPr>
                <w:color w:val="3A4A5C"/>
                <w:sz w:val="19"/>
                <w:szCs w:val="19"/>
              </w:rPr>
              <w:t xml:space="preserve">Weighted base score: (55×0.30) + (25×0.15) + (90×0.10) + (40×0.15) + (60×0.15) + (25×0.05) + (60×0.10) = 49 base. Plus parent inheritance bonus +5 (P1 · #1 PE-GATED) + modifier -5 = 49 total.</w:t>
            </w:r>
          </w:p>
          <w:p>
            <w:pPr>
              <w:spacing w:after="100"/>
            </w:pPr>
            <w:r>
              <w:rPr>
                <w:color w:val="3A4A5C"/>
                <w:sz w:val="19"/>
                <w:szCs w:val="19"/>
              </w:rPr>
              <w:t xml:space="preserve">Score 49 = T7 HOLD — MONITOR per the Track 2 tier framework. Tier brackets: 100+ = T1, 90-99 = T2, 80-89 = T3, 70-79 = T4, 60-69 = T5, 50-59 = T6, 40-49 = T7, &lt;40 or excluded = T8.</w:t>
            </w:r>
          </w:p>
        </w:tc>
      </w:tr>
    </w:tbl>
    <w:p>
      <w:pPr>
        <w:spacing w:after="160" w:before="160"/>
      </w:pPr>
      <w:r>
        <w:t xml:space="preserve"/>
      </w:r>
    </w:p>
    <w:p>
      <w:pPr>
        <w:pBdr>
          <w:bottom w:val="single" w:color="185FA5" w:sz="6" w:space="1"/>
        </w:pBdr>
        <w:spacing w:after="200"/>
      </w:pPr>
      <w:r>
        <w:t xml:space="preserve"/>
      </w:r>
    </w:p>
    <w:p>
      <w:pPr>
        <w:jc w:val="center"/>
      </w:pPr>
      <w:r>
        <w:rPr>
          <w:i/>
          <w:iCs/>
          <w:color w:val="6B7A8B"/>
          <w:sz w:val="17"/>
          <w:szCs w:val="17"/>
        </w:rPr>
        <w:t xml:space="preserve">— End of Mosquito Joe (non-ST) readiness package —</w:t>
      </w:r>
    </w:p>
    <w:p>
      <w:pPr>
        <w:spacing w:after="60" w:before="60"/>
      </w:pPr>
      <w:r>
        <w:t xml:space="preserve"/>
      </w:r>
    </w:p>
    <w:p>
      <w:pPr>
        <w:jc w:val="center"/>
      </w:pPr>
      <w:r>
        <w:rPr>
          <w:i/>
          <w:iCs/>
          <w:color w:val="6B7A8B"/>
          <w:sz w:val="15"/>
          <w:szCs w:val="15"/>
        </w:rPr>
        <w:t xml:space="preserve">Velocity GTM Co LLC  ·  Stage 2 Brand-Corp Readiness  ·  Mosquito Joe (non-ST)  ·  Built from CRM v15.6  ·  April 30, 2026</w:t>
      </w:r>
    </w:p>
    <w:sectPr>
      <w:headerReference w:type="default" r:id="rId7"/>
      <w:footerReference w:type="default" r:id="rId8"/>
      <w:pgSz w:w="12240" w:h="15840" w:orient="portrait"/>
      <w:pgMar w:top="1080" w:right="1080" w:bottom="1080" w:left="1080" w:header="540" w:footer="54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A8B"/>
        <w:sz w:val="16"/>
        <w:szCs w:val="16"/>
      </w:rPr>
      <w:t xml:space="preserve">Velocity GTM Co LLC  ·  April 30, 2026  ·  Page </w:t>
    </w:r>
    <w:r>
      <w:rPr>
        <w:color w:val="6B7A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6B7A8B"/>
        <w:sz w:val="14"/>
        <w:szCs w:val="14"/>
      </w:rPr>
      <w:t xml:space="preserve">STAGE 2 · BRAND-CORP READINESS  ·  MOSQUITO JOE (NON-ST)  ·  CRM v15.6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Mosquito Joe (non-ST) Stage 2 Brand-Corp Readiness Package — CRM v15.6</dc:title>
  <dc:creator>Michael Montgomery Flynt Jr</dc:creator>
  <cp:lastModifiedBy>Un-named</cp:lastModifiedBy>
  <cp:revision>1</cp:revision>
  <dcterms:created xsi:type="dcterms:W3CDTF">2026-04-30T23:55:09.930Z</dcterms:created>
  <dcterms:modified xsi:type="dcterms:W3CDTF">2026-04-30T23:55:09.930Z</dcterms:modified>
</cp:coreProperties>
</file>

<file path=docProps/custom.xml><?xml version="1.0" encoding="utf-8"?>
<Properties xmlns="http://schemas.openxmlformats.org/officeDocument/2006/custom-properties" xmlns:vt="http://schemas.openxmlformats.org/officeDocument/2006/docPropsVTypes"/>
</file>