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b/>
          <w:bCs/>
          <w:color w:val="1A2B3C"/>
          <w:sz w:val="36"/>
          <w:szCs w:val="36"/>
        </w:rPr>
        <w:t xml:space="preserve">Stage 2 · Brand-Corp Readiness</w:t>
      </w:r>
    </w:p>
    <w:p>
      <w:pPr>
        <w:spacing w:after="80"/>
        <w:jc w:val="center"/>
      </w:pPr>
      <w:r>
        <w:rPr>
          <w:b/>
          <w:bCs/>
          <w:color w:val="185FA5"/>
          <w:sz w:val="22"/>
          <w:szCs w:val="22"/>
        </w:rPr>
        <w:t xml:space="preserve">Mr. Electric (non-ST)</w:t>
      </w:r>
    </w:p>
    <w:p>
      <w:pPr>
        <w:spacing w:after="120"/>
        <w:jc w:val="center"/>
      </w:pPr>
      <w:r>
        <w:rPr>
          <w:i/>
          <w:iCs/>
          <w:color w:val="6B7A8B"/>
          <w:sz w:val="17"/>
          <w:szCs w:val="17"/>
        </w:rPr>
        <w:t xml:space="preserve">Parent: Neighborly  ·  Vertical: Electrical services — non-ServiceTitan locations only</w:t>
      </w:r>
    </w:p>
    <w:p>
      <w:pPr>
        <w:spacing w:after="120"/>
        <w:jc w:val="center"/>
      </w:pPr>
      <w:r>
        <w:rPr>
          <w:i/>
          <w:iCs/>
          <w:color w:val="6B7A8B"/>
          <w:sz w:val="17"/>
          <w:szCs w:val="17"/>
        </w:rPr>
        <w:t xml:space="preserve">V2 Score: 61  ·  Tier: T5 QUEUE — DEVELOP  ·  P1 · #1 · PE-GATED</w:t>
      </w:r>
    </w:p>
    <w:p>
      <w:pPr>
        <w:spacing w:after="60" w:before="60"/>
      </w:pPr>
      <w:r>
        <w:t xml:space="preserve"/>
      </w:r>
    </w:p>
    <w:tbl>
      <w:tblPr>
        <w:tblW w:type="dxa" w:w="10080"/>
        <w:tblBorders>
          <w:top w:val="single" w:color="185FA5" w:sz="0"/>
          <w:left w:val="single" w:color="185FA5" w:sz="0"/>
          <w:bottom w:val="single" w:color="185FA5" w:sz="0"/>
          <w:right w:val="single" w:color="185FA5" w:sz="0"/>
          <w:insideH w:val="single" w:color="auto" w:sz="4"/>
          <w:insideV w:val="single" w:color="auto" w:sz="4"/>
        </w:tblBorders>
      </w:tblPr>
      <w:tblGrid>
        <w:gridCol w:w="10080"/>
      </w:tblGrid>
      <w:tr>
        <w:tc>
          <w:tcPr>
            <w:tcW w:type="dxa" w:w="10080"/>
            <w:tcBorders>
              <w:top w:val="single" w:color="185FA5" w:sz="4"/>
              <w:left w:val="single" w:color="185FA5" w:sz="4"/>
              <w:bottom w:val="single" w:color="185FA5" w:sz="4"/>
              <w:right w:val="single" w:color="185FA5" w:sz="4"/>
            </w:tcBorders>
            <w:shd w:fill="185FA5" w:val="clear"/>
            <w:tcMar>
              <w:top w:type="dxa" w:w="180"/>
              <w:left w:type="dxa" w:w="280"/>
              <w:bottom w:type="dxa" w:w="180"/>
              <w:right w:type="dxa" w:w="280"/>
            </w:tcMar>
            <w:vAlign w:val="center"/>
          </w:tcPr>
          <w:p>
            <w:pPr>
              <w:jc w:val="center"/>
            </w:pPr>
            <w:r>
              <w:rPr>
                <w:b/>
                <w:bCs/>
                <w:color w:val="FFFFFF"/>
                <w:spacing w:val="80"/>
                <w:sz w:val="26"/>
                <w:szCs w:val="26"/>
              </w:rPr>
              <w:t xml:space="preserve">🟢  T5 QUEUE — DEVELOP</w:t>
            </w:r>
          </w:p>
        </w:tc>
      </w:tr>
    </w:tbl>
    <w:p>
      <w:pPr>
        <w:spacing w:after="120" w:before="120"/>
      </w:pPr>
      <w:r>
        <w:t xml:space="preserve"/>
      </w:r>
    </w:p>
    <w:p>
      <w:pPr>
        <w:spacing w:after="120" w:before="240"/>
      </w:pPr>
      <w:r>
        <w:rPr>
          <w:b/>
          <w:bCs/>
          <w:color w:val="1A2B3C"/>
          <w:sz w:val="28"/>
          <w:szCs w:val="28"/>
        </w:rPr>
        <w:t xml:space="preserve">My read on Mr. Electric (non-ST)</w:t>
      </w:r>
    </w:p>
    <w:tbl>
      <w:tblPr>
        <w:tblW w:type="dxa" w:w="10080"/>
        <w:tblBorders>
          <w:top w:val="single" w:color="E8D89C" w:sz="6"/>
          <w:left w:val="single" w:color="E8D89C" w:sz="6"/>
          <w:bottom w:val="single" w:color="E8D89C" w:sz="6"/>
          <w:right w:val="single" w:color="E8D89C" w:sz="6"/>
          <w:insideH w:val="single" w:color="auto" w:sz="4"/>
          <w:insideV w:val="single" w:color="auto" w:sz="4"/>
        </w:tblBorders>
      </w:tblPr>
      <w:tblGrid>
        <w:gridCol w:w="10080"/>
      </w:tblGrid>
      <w:tr>
        <w:tc>
          <w:tcPr>
            <w:tcW w:type="dxa" w:w="10080"/>
            <w:shd w:fill="FBF4E0" w:val="clear"/>
            <w:tcMar>
              <w:top w:type="dxa" w:w="200"/>
              <w:left w:type="dxa" w:w="280"/>
              <w:bottom w:type="dxa" w:w="200"/>
              <w:right w:type="dxa" w:w="280"/>
            </w:tcMar>
          </w:tcPr>
          <w:p>
            <w:pPr>
              <w:spacing w:after="100"/>
            </w:pPr>
            <w:r>
              <w:rPr>
                <w:b/>
                <w:bCs/>
                <w:color w:val="1A2B3C"/>
                <w:sz w:val="22"/>
                <w:szCs w:val="22"/>
              </w:rPr>
              <w:t xml:space="preserve">Why Mr. Electric (non-ST) scores top of Neighborly engageable set</w:t>
            </w:r>
          </w:p>
          <w:p>
            <w:pPr>
              <w:spacing w:after="100"/>
            </w:pPr>
            <w:r>
              <w:rPr>
                <w:color w:val="3A4A5C"/>
                <w:sz w:val="19"/>
                <w:szCs w:val="19"/>
              </w:rPr>
              <w:t xml:space="preserve">Mr. Electric (non-ST) represents the engageable subset of Mr. Electric — locations and franchisees that are NOT under the ServiceTitan mandate that covers most Mr. Electric operations across Neighborly. The mandate has been in place since 2012 and covers the bulk of the network's ~1,095 techs, but a smaller carved-out set of locations operate outside of ST. Per CRM v15.6, this subset represents approximately 50 locations × 5 techs/loc = 250 techs — small but engageable.</w:t>
            </w:r>
          </w:p>
          <w:p>
            <w:pPr>
              <w:spacing w:after="100"/>
            </w:pPr>
            <w:r>
              <w:rPr>
                <w:color w:val="3A4A5C"/>
                <w:sz w:val="19"/>
                <w:szCs w:val="19"/>
              </w:rPr>
              <w:t xml:space="preserve">Why this scores higher than other Neighborly engageable brands: it's the only Mr. Electric subset where ServiceBridge can compete at all. Score 61 reflects the structural reality that even non-ST Mr. Electric locations sit within Neighborly's portfolio gravity, which means PE-gated engagement constraints still apply. Engagement upside is real but materially limited by the mandate context above the brand.</w:t>
            </w:r>
          </w:p>
          <w:p>
            <w:pPr>
              <w:spacing w:after="100"/>
            </w:pPr>
            <w:r>
              <w:rPr>
                <w:color w:val="3A4A5C"/>
                <w:sz w:val="19"/>
                <w:szCs w:val="19"/>
              </w:rPr>
              <w:t xml:space="preserve">Strategic frame: Mr. Electric (non-ST) is a wedge — small initial footprint that, if successful, becomes a proof point for displacing ServiceTitan within the broader Mr. Electric mandate when contracts come up for renewal. Engagement here is reconnaissance for the larger displacement opportunity, not pipeline-velocity work. ⚠️ PE-GATED: Neighborly engagement is multi-year strategic via Charles → Accel-KKR → KKR warm path. Direct outreach to brand corp is DISCOURAGED — brand-level engagement should be coordinated through parent franchisor PE relationship pathway.</w:t>
            </w:r>
          </w:p>
        </w:tc>
      </w:tr>
    </w:tbl>
    <w:p>
      <w:pPr>
        <w:spacing w:after="120" w:before="120"/>
      </w:pPr>
      <w:r>
        <w:t xml:space="preserve"/>
      </w:r>
    </w:p>
    <w:p>
      <w:pPr>
        <w:spacing w:after="120" w:before="240"/>
      </w:pPr>
      <w:r>
        <w:rPr>
          <w:b/>
          <w:bCs/>
          <w:color w:val="1A2B3C"/>
          <w:sz w:val="28"/>
          <w:szCs w:val="28"/>
        </w:rPr>
        <w:t xml:space="preserve">Where this teaches us to land it</w:t>
      </w:r>
    </w:p>
    <w:p>
      <w:pPr>
        <w:pStyle w:val="ListParagraph"/>
        <w:numPr>
          <w:ilvl w:val="0"/>
          <w:numId w:val="2"/>
        </w:numPr>
        <w:spacing w:after="80"/>
      </w:pPr>
      <w:r>
        <w:rPr>
          <w:color w:val="3A4A5C"/>
          <w:sz w:val="19"/>
          <w:szCs w:val="19"/>
        </w:rPr>
        <w:t xml:space="preserve">PE-gated framing applies. Even though the engageable subset is unmandated, parent franchisor context governs engagement approach.</w:t>
      </w:r>
    </w:p>
    <w:p>
      <w:pPr>
        <w:pStyle w:val="ListParagraph"/>
        <w:numPr>
          <w:ilvl w:val="0"/>
          <w:numId w:val="2"/>
        </w:numPr>
        <w:spacing w:after="80"/>
      </w:pPr>
      <w:r>
        <w:rPr>
          <w:color w:val="3A4A5C"/>
          <w:sz w:val="19"/>
          <w:szCs w:val="19"/>
        </w:rPr>
        <w:t xml:space="preserve">Small footprint (~250 techs) means materially capped near-term ARR. Y1@10% = $7,500 — strategic value &gt; revenue value.</w:t>
      </w:r>
    </w:p>
    <w:p>
      <w:pPr>
        <w:pStyle w:val="ListParagraph"/>
        <w:numPr>
          <w:ilvl w:val="0"/>
          <w:numId w:val="2"/>
        </w:numPr>
        <w:spacing w:after="80"/>
      </w:pPr>
      <w:r>
        <w:rPr>
          <w:color w:val="3A4A5C"/>
          <w:sz w:val="19"/>
          <w:szCs w:val="19"/>
        </w:rPr>
        <w:t xml:space="preserve">Wedge dynamics matter. Successful pilot in non-ST locations creates a case study for the eventual ST mandate displacement at the broader brand.</w:t>
      </w:r>
    </w:p>
    <w:p>
      <w:pPr>
        <w:pStyle w:val="ListParagraph"/>
        <w:numPr>
          <w:ilvl w:val="0"/>
          <w:numId w:val="2"/>
        </w:numPr>
        <w:spacing w:after="80"/>
      </w:pPr>
      <w:r>
        <w:rPr>
          <w:color w:val="3A4A5C"/>
          <w:sz w:val="19"/>
          <w:szCs w:val="19"/>
        </w:rPr>
        <w:t xml:space="preserve">ServiceTitan partnership timing window matters. Mandate originally 2012; contract renewal cycles create future displacement windows.</w:t>
      </w:r>
    </w:p>
    <w:p>
      <w:pPr>
        <w:pStyle w:val="ListParagraph"/>
        <w:numPr>
          <w:ilvl w:val="0"/>
          <w:numId w:val="2"/>
        </w:numPr>
        <w:spacing w:after="80"/>
      </w:pPr>
      <w:r>
        <w:rPr>
          <w:color w:val="3A4A5C"/>
          <w:sz w:val="19"/>
          <w:szCs w:val="19"/>
        </w:rPr>
        <w:t xml:space="preserve">Coordinate with sister-brand Aire Serv (non-ST) approach — same brand-corp leadership, similar engagement constraints.</w:t>
      </w:r>
    </w:p>
    <w:p>
      <w:pPr>
        <w:spacing w:after="120" w:before="120"/>
      </w:pPr>
      <w:r>
        <w:t xml:space="preserve"/>
      </w:r>
    </w:p>
    <w:p>
      <w:pPr>
        <w:spacing w:after="120" w:before="240"/>
      </w:pPr>
      <w:r>
        <w:rPr>
          <w:b/>
          <w:bCs/>
          <w:color w:val="1A2B3C"/>
          <w:sz w:val="28"/>
          <w:szCs w:val="28"/>
        </w:rPr>
        <w:t xml:space="preserve">📊  What we know — with sources</w:t>
      </w:r>
    </w:p>
    <w:p>
      <w:pPr>
        <w:spacing w:after="120"/>
      </w:pPr>
      <w:r>
        <w:rPr>
          <w:color w:val="3A4A5C"/>
          <w:sz w:val="19"/>
          <w:szCs w:val="19"/>
        </w:rPr>
        <w:t xml:space="preserve">Verified data points and intel gaps. This is the section to populate first as we close gaps with Andrea's team and GPSI database queries.</w:t>
      </w:r>
    </w:p>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1500"/>
        <w:gridCol w:w="1900"/>
        <w:gridCol w:w="780"/>
      </w:tblGrid>
      <w:tr>
        <w:trPr>
          <w:tblHeader/>
        </w:trPr>
        <w:tc>
          <w:tcPr>
            <w:tcW w:type="dxa" w:w="300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DATA POINT</w:t>
            </w:r>
          </w:p>
        </w:tc>
        <w:tc>
          <w:tcPr>
            <w:tcW w:type="dxa" w:w="290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VALUE</w:t>
            </w:r>
          </w:p>
        </w:tc>
        <w:tc>
          <w:tcPr>
            <w:tcW w:type="dxa" w:w="150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CONFIDENCE</w:t>
            </w:r>
          </w:p>
        </w:tc>
        <w:tc>
          <w:tcPr>
            <w:tcW w:type="dxa" w:w="190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SOURCE</w:t>
            </w:r>
          </w:p>
        </w:tc>
        <w:tc>
          <w:tcPr>
            <w:tcW w:type="dxa" w:w="78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VERIFIED</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Parent franchisor</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Neighborly</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Neighborly portfolio site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Parent PE owner</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KKR (active investor, exit window 2026-27)</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KKR portfolio · Neighborly press</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Parent tier</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P1 · #1 · PE-GATED</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STRATEGIC</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V2 ranking model</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Vertical</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Electrical services — non-ServiceTitan locations only</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Mr. Electric / Neighborly</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Brand network — locations</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50 (estimated, non-ST subset)</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ESTIMATED</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CRM v15.6 working figure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Brand tech count</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250 (~5 techs/loc)</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ESTIMATED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CRM v15.6 working figure</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ServiceBridge penetration</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TBD — likely low (newer engageable subset)</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INTEL GAP</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GPSI database query</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Pending</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Franchisor mandate status</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NO mandate on this subset (carved out from ST mandate covering main brand)</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STRATEGIC</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CRM v15.6 / Neighborly</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Brand president</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Neighborly Mr. Electric brand leadership (TBD specific name)</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INTEL GAP</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LinkedIn / brand site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Pending</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Brand ops/tech leader</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Gagan Sinha CIO at Neighborly portfolio level</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Neighborly press · LinkedIn</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Accounting stack at franchisee</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Likely QuickBooks-mixed for non-ST subset</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HYPOTHESIS</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Electrical-vertical pattern</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Telematics overlap (GPSI)</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Likely Smart Fleet USA preferred (Neighborly portfolio standard)</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HYPOTHESIS</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Smart Fleet USA partnership confirmed</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GPO / buying group</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Neighborly portfolio-level (no separate brand GPO)</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STRATEGIC</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Neighborly portfolio structure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Customer mix (B2B vs consumer)</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Heavily consumer residential</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Mr. Electric service offerings</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Public visibility (brand corp)</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Moderate — within Neighborly portfolio architecture</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LinkedIn / Neighborly portfolio site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30</w:t>
            </w:r>
          </w:p>
        </w:tc>
      </w:tr>
    </w:tbl>
    <w:p>
      <w:pPr>
        <w:spacing w:after="160" w:before="160"/>
      </w:pPr>
      <w:r>
        <w:t xml:space="preserve"/>
      </w:r>
    </w:p>
    <w:p>
      <w:pPr>
        <w:spacing w:after="120" w:before="240"/>
      </w:pPr>
      <w:r>
        <w:rPr>
          <w:b/>
          <w:bCs/>
          <w:color w:val="1A2B3C"/>
          <w:sz w:val="28"/>
          <w:szCs w:val="28"/>
        </w:rPr>
        <w:t xml:space="preserve">🎯  Brand profile signals — the dimensions that drive engagement strategy</w:t>
      </w:r>
    </w:p>
    <w:tbl>
      <w:tblPr>
        <w:tblW w:type="dxa" w:w="10080"/>
        <w:tblBorders>
          <w:top w:val="single" w:color="D0D5DD" w:sz="6"/>
          <w:left w:val="single" w:color="D0D5DD" w:sz="6"/>
          <w:bottom w:val="single" w:color="D0D5DD" w:sz="6"/>
          <w:right w:val="single" w:color="D0D5DD" w:sz="6"/>
          <w:insideH w:val="single" w:color="auto" w:sz="4"/>
          <w:insideV w:val="single" w:color="auto" w:sz="4"/>
        </w:tblBorders>
      </w:tblPr>
      <w:tblGrid>
        <w:gridCol w:w="10080"/>
      </w:tblGrid>
      <w:tr>
        <w:tc>
          <w:tcPr>
            <w:tcW w:type="dxa" w:w="10080"/>
            <w:shd w:fill="F5F6F8" w:val="clear"/>
            <w:tcMar>
              <w:top w:type="dxa" w:w="200"/>
              <w:left w:type="dxa" w:w="280"/>
              <w:bottom w:type="dxa" w:w="200"/>
              <w:right w:type="dxa" w:w="280"/>
            </w:tcMar>
          </w:tcPr>
          <w:p>
            <w:pPr>
              <w:spacing w:after="100"/>
            </w:pPr>
            <w:r>
              <w:rPr>
                <w:b/>
                <w:bCs/>
                <w:color w:val="1A2B3C"/>
                <w:sz w:val="22"/>
                <w:szCs w:val="22"/>
              </w:rPr>
              <w:t xml:space="preserve">Why this section matters</w:t>
            </w:r>
          </w:p>
          <w:p>
            <w:pPr>
              <w:spacing w:after="100"/>
            </w:pPr>
            <w:r>
              <w:rPr>
                <w:color w:val="3A4A5C"/>
                <w:sz w:val="19"/>
                <w:szCs w:val="19"/>
              </w:rPr>
              <w:t xml:space="preserve">Eleven signals diagnose any brand corp. Together they determine which engagement channels work, what the operational ROI story sounds like, and where the brand sits in priority. Score each signal high/medium/low and let the pattern guide channel selection.</w:t>
            </w:r>
          </w:p>
          <w:p>
            <w:pPr>
              <w:spacing w:after="100"/>
            </w:pPr>
            <w:r>
              <w:rPr>
                <w:color w:val="3A4A5C"/>
                <w:sz w:val="19"/>
                <w:szCs w:val="19"/>
              </w:rPr>
              <w:t xml:space="preserve">Two signals carry extra weight in V2 priority ranking: GREENFIELD + PAPER-BASED OPS (combined 25% weight) and ACCOUNTING STACK INDICATORS (QuickBooks-only is the strongest greenfield+paper proxy). Together these flag highest-velocity opportunities.</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4000"/>
        <w:gridCol w:w="2780"/>
      </w:tblGrid>
      <w:tr>
        <w:trPr>
          <w:tblHeader/>
        </w:trPr>
        <w:tc>
          <w:tcPr>
            <w:tcW w:type="dxa" w:w="330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SIGNAL</w:t>
            </w:r>
          </w:p>
        </w:tc>
        <w:tc>
          <w:tcPr>
            <w:tcW w:type="dxa" w:w="400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MR. ELECTRIC (NON-ST) VALUE</w:t>
            </w:r>
          </w:p>
        </w:tc>
        <w:tc>
          <w:tcPr>
            <w:tcW w:type="dxa" w:w="278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ENGAGEMENT IMPLICATION</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Greenfield + paper-based ops</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VARIES — brand-specific (see vertical fit row)</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Greenfield bump applies where no FSM mandate. Within Neighborly, only specific brands and non-ST locations qualify.</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Accounting stack (QB / Intuit FSM / higher-tier)</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Mixed — Neighborly franchisees range across QB, brand-specific tools</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Neighborly portfolio doesn't standardize accounting stack. Per-brand validation required.</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Customer mix (B2B vs consumer)</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Heavy consumer — Neighborly is consumer-led portfolio</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Consumer-led brands favor reviews/SEO/local marketing. Recurring-billing ROI math still applies for routes.</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GPO / buying group membership</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Neighborly portfolio-level (no separate brand GPO)</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Neighborly franchisees access portfolio-level vendor agreements. Brand-corp endorsement gated on parent franchisor approval.</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Vertical fit</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Electrical services — strong SB fit for residential dispatch + recurring service</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Electrical services align with SB's dispatch + billing capture strengths.</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Brand network size + tech count</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Small subset — ~50 locs / ~250 techs (non-ST carved out from larger Mr. Electric)</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Small footprint limits immediate ARR. Strategic value &gt; revenue value.</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Geographic concentration</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National footprint</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National brand-corp coordination required. Local trade-press still relevant for franchisee recruitment.</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Multi-unit operator density</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TBD — research gap</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Neighborly franchisees often multi-brand operators (own franchises across portfolio). Density unlocks portfolio-level conversations.</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GPSI customer overlap</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Likely Smart Fleet USA preferred (Neighborly standard)</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Highest weight on warm-path scoring. Neighborly's preferred telematics is Smart Fleet USA (Azuga platform) — hard conflict flag for any GPSI-led approach.</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Existing FSM landscape</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GREENFIELD within non-ST subset; ServiceTitan dominates the broader Mr. Electric brand</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Greenfield within carve-out. Wedge dynamics for eventual broader brand displacement when mandate cycles.</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Recent leadership changes</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Gagan Sinha CIO (Sept 2025) — primary FSM decision-maker, still forming roadmap</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CIO transition creates open-roadmap opportunity but PE-gated engagement constraint applies.</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Public visibility / engagement signals</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Moderate — established brand within Neighborly portfolio</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Warm-path / parent-franchisor route dominates. Direct outreach gated on PE pathway.</w:t>
            </w:r>
          </w:p>
        </w:tc>
      </w:tr>
    </w:tbl>
    <w:p>
      <w:pPr>
        <w:spacing w:after="160" w:before="160"/>
      </w:pPr>
      <w:r>
        <w:t xml:space="preserve"/>
      </w:r>
    </w:p>
    <w:p>
      <w:pPr>
        <w:spacing w:after="120" w:before="240"/>
      </w:pPr>
      <w:r>
        <w:rPr>
          <w:b/>
          <w:bCs/>
          <w:color w:val="1A2B3C"/>
          <w:sz w:val="28"/>
          <w:szCs w:val="28"/>
        </w:rPr>
        <w:t xml:space="preserve">📣  Engagement architecture — five channels scored against brand profile</w:t>
      </w:r>
    </w:p>
    <w:tbl>
      <w:tblPr>
        <w:tblW w:type="dxa" w:w="10080"/>
        <w:tblBorders>
          <w:top w:val="single" w:color="D0D5DD" w:sz="6"/>
          <w:left w:val="single" w:color="D0D5DD" w:sz="6"/>
          <w:bottom w:val="single" w:color="D0D5DD" w:sz="6"/>
          <w:right w:val="single" w:color="D0D5DD" w:sz="6"/>
          <w:insideH w:val="single" w:color="auto" w:sz="4"/>
          <w:insideV w:val="single" w:color="auto" w:sz="4"/>
        </w:tblBorders>
      </w:tblPr>
      <w:tblGrid>
        <w:gridCol w:w="10080"/>
      </w:tblGrid>
      <w:tr>
        <w:tc>
          <w:tcPr>
            <w:tcW w:type="dxa" w:w="10080"/>
            <w:shd w:fill="F5F6F8" w:val="clear"/>
            <w:tcMar>
              <w:top w:type="dxa" w:w="200"/>
              <w:left w:type="dxa" w:w="280"/>
              <w:bottom w:type="dxa" w:w="200"/>
              <w:right w:type="dxa" w:w="280"/>
            </w:tcMar>
          </w:tcPr>
          <w:p>
            <w:pPr>
              <w:spacing w:after="100"/>
            </w:pPr>
            <w:r>
              <w:rPr>
                <w:b/>
                <w:bCs/>
                <w:color w:val="1A2B3C"/>
                <w:sz w:val="22"/>
                <w:szCs w:val="22"/>
              </w:rPr>
              <w:t xml:space="preserve">How this section works</w:t>
            </w:r>
          </w:p>
          <w:p>
            <w:pPr>
              <w:spacing w:after="100"/>
            </w:pPr>
            <w:r>
              <w:rPr>
                <w:color w:val="3A4A5C"/>
                <w:sz w:val="19"/>
                <w:szCs w:val="19"/>
              </w:rPr>
              <w:t xml:space="preserve">Five engagement channels assessed against Mr. Electric (non-ST)'s profile signals. Each gets a fit rating (HIGH/MEDIUM/LOW) and specific tactics. The right engagement plan combines 2-3 channels weighted by what the brand profile rewards — not a generic mix.</w:t>
            </w:r>
          </w:p>
        </w:tc>
      </w:tr>
    </w:tbl>
    <w:p>
      <w:pPr>
        <w:spacing w:after="80" w:before="80"/>
      </w:pPr>
      <w:r>
        <w:t xml:space="preserve"/>
      </w:r>
    </w:p>
    <w:p>
      <w:pPr>
        <w:spacing w:after="80" w:before="160"/>
      </w:pPr>
      <w:r>
        <w:rPr>
          <w:b/>
          <w:bCs/>
          <w:color w:val="1A2B3C"/>
          <w:sz w:val="22"/>
          <w:szCs w:val="22"/>
        </w:rPr>
        <w:t xml:space="preserve">1. Warm path activation</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EAF3DE" w:val="clear"/>
            <w:tcMar>
              <w:top w:type="dxa" w:w="120"/>
              <w:left w:type="dxa" w:w="160"/>
              <w:bottom w:type="dxa" w:w="120"/>
              <w:right w:type="dxa" w:w="160"/>
            </w:tcMar>
            <w:vAlign w:val="center"/>
          </w:tcPr>
          <w:p>
            <w:pPr>
              <w:jc w:val="center"/>
            </w:pPr>
            <w:r>
              <w:rPr>
                <w:b/>
                <w:bCs/>
                <w:color w:val="27500A"/>
                <w:spacing w:val="40"/>
                <w:sz w:val="18"/>
                <w:szCs w:val="18"/>
              </w:rPr>
              <w:t xml:space="preserve">HIGH</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PRIMARY PATH. Charles → Accel-KKR → KKR warm path is the dominant engagement channel for any Neighborly brand. Felix Gernburd + David Brandon at KKR are the warm-intro path Charles holds. Gagan Sinha CIO (joined Sept 2025 from Bloomin' Brands) is the primary FSM decision-maker at Neighborly — coordinate any Sinha conversation through the KKR pathway. GPSI overlap query at Neighborly is likely partial; Smart Fleet USA is Neighborly's preferred telematics — direct GPSI-led approaches face conflict flag.</w:t>
            </w:r>
          </w:p>
        </w:tc>
      </w:tr>
    </w:tbl>
    <w:p>
      <w:pPr>
        <w:spacing w:after="60" w:before="60"/>
      </w:pPr>
      <w:r>
        <w:t xml:space="preserve"/>
      </w:r>
    </w:p>
    <w:p>
      <w:pPr>
        <w:spacing w:after="80" w:before="160"/>
      </w:pPr>
      <w:r>
        <w:rPr>
          <w:b/>
          <w:bCs/>
          <w:color w:val="1A2B3C"/>
          <w:sz w:val="22"/>
          <w:szCs w:val="22"/>
        </w:rPr>
        <w:t xml:space="preserve">2. Direct outreach (LinkedIn, email, calls)</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FCEBEB" w:val="clear"/>
            <w:tcMar>
              <w:top w:type="dxa" w:w="120"/>
              <w:left w:type="dxa" w:w="160"/>
              <w:bottom w:type="dxa" w:w="120"/>
              <w:right w:type="dxa" w:w="160"/>
            </w:tcMar>
            <w:vAlign w:val="center"/>
          </w:tcPr>
          <w:p>
            <w:pPr>
              <w:jc w:val="center"/>
            </w:pPr>
            <w:r>
              <w:rPr>
                <w:b/>
                <w:bCs/>
                <w:color w:val="8B0000"/>
                <w:spacing w:val="40"/>
                <w:sz w:val="18"/>
                <w:szCs w:val="18"/>
              </w:rPr>
              <w:t xml:space="preserve">LOW</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 PE-GATED — DIRECT OUTREACH DISCOURAGED. Neighborly brand-corp leadership accessible via LinkedIn but direct cold outreach risks fragmenting the strategic PE-gated approach. Reserved for AFTER warm path establishes preliminary brand-corp interest. Independent direct outreach to Neighborly brand presidents without coordination through Charles/KKR pathway is OUT of scope.</w:t>
            </w:r>
          </w:p>
        </w:tc>
      </w:tr>
    </w:tbl>
    <w:p>
      <w:pPr>
        <w:spacing w:after="60" w:before="60"/>
      </w:pPr>
      <w:r>
        <w:t xml:space="preserve"/>
      </w:r>
    </w:p>
    <w:p>
      <w:pPr>
        <w:spacing w:after="80" w:before="160"/>
      </w:pPr>
      <w:r>
        <w:rPr>
          <w:b/>
          <w:bCs/>
          <w:color w:val="1A2B3C"/>
          <w:sz w:val="22"/>
          <w:szCs w:val="22"/>
        </w:rPr>
        <w:t xml:space="preserve">3. Earned media (trade press, podcasts)</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FFF4E5" w:val="clear"/>
            <w:tcMar>
              <w:top w:type="dxa" w:w="120"/>
              <w:left w:type="dxa" w:w="160"/>
              <w:bottom w:type="dxa" w:w="120"/>
              <w:right w:type="dxa" w:w="160"/>
            </w:tcMar>
            <w:vAlign w:val="center"/>
          </w:tcPr>
          <w:p>
            <w:pPr>
              <w:jc w:val="center"/>
            </w:pPr>
            <w:r>
              <w:rPr>
                <w:b/>
                <w:bCs/>
                <w:color w:val="C8501F"/>
                <w:spacing w:val="40"/>
                <w:sz w:val="18"/>
                <w:szCs w:val="18"/>
              </w:rPr>
              <w:t xml:space="preserve">MEDIUM</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Electrical vertical: EC&amp;M Magazine, Electrical Contractor Magazine, IAEI News. Joint thought leadership with parent Neighborly content (Bidwell legacy stories carefully handled, Mike Bidwell's passing Sept 2023 sensitive context). Franchise vertical: Franchise Times, Entrepreneur Franchise 500. Parent franchisor narrative dominates over brand-corp specifics.</w:t>
            </w:r>
          </w:p>
        </w:tc>
      </w:tr>
    </w:tbl>
    <w:p>
      <w:pPr>
        <w:spacing w:after="60" w:before="60"/>
      </w:pPr>
      <w:r>
        <w:t xml:space="preserve"/>
      </w:r>
    </w:p>
    <w:p>
      <w:pPr>
        <w:spacing w:after="80" w:before="160"/>
      </w:pPr>
      <w:r>
        <w:rPr>
          <w:b/>
          <w:bCs/>
          <w:color w:val="1A2B3C"/>
          <w:sz w:val="22"/>
          <w:szCs w:val="22"/>
        </w:rPr>
        <w:t xml:space="preserve">4. Physical touches (mail, gifts, events)</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EAF3DE" w:val="clear"/>
            <w:tcMar>
              <w:top w:type="dxa" w:w="120"/>
              <w:left w:type="dxa" w:w="160"/>
              <w:bottom w:type="dxa" w:w="120"/>
              <w:right w:type="dxa" w:w="160"/>
            </w:tcMar>
            <w:vAlign w:val="center"/>
          </w:tcPr>
          <w:p>
            <w:pPr>
              <w:jc w:val="center"/>
            </w:pPr>
            <w:r>
              <w:rPr>
                <w:b/>
                <w:bCs/>
                <w:color w:val="27500A"/>
                <w:spacing w:val="40"/>
                <w:sz w:val="18"/>
                <w:szCs w:val="18"/>
              </w:rPr>
              <w:t xml:space="preserve">MEDIUM-HIGH</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Neighborly hosts portfolio-wide franchisee events (Reunion, regional summits) — high-leverage venues but require Neighborly-level coordination. Electrical industry: NECA Convention, IEEE events. Franchise: IFA Annual Convention. America 250 letter campaign reaches Neighborly portfolio — coordinate brand-corp specific reinforcement through parent channel.</w:t>
            </w:r>
          </w:p>
        </w:tc>
      </w:tr>
    </w:tbl>
    <w:p>
      <w:pPr>
        <w:spacing w:after="60" w:before="60"/>
      </w:pPr>
      <w:r>
        <w:t xml:space="preserve"/>
      </w:r>
    </w:p>
    <w:p>
      <w:pPr>
        <w:spacing w:after="80" w:before="160"/>
      </w:pPr>
      <w:r>
        <w:rPr>
          <w:b/>
          <w:bCs/>
          <w:color w:val="1A2B3C"/>
          <w:sz w:val="22"/>
          <w:szCs w:val="22"/>
        </w:rPr>
        <w:t xml:space="preserve">5. Inbound signal building (engaging their content, amplifying their voice)</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FFF4E5" w:val="clear"/>
            <w:tcMar>
              <w:top w:type="dxa" w:w="120"/>
              <w:left w:type="dxa" w:w="160"/>
              <w:bottom w:type="dxa" w:w="120"/>
              <w:right w:type="dxa" w:w="160"/>
            </w:tcMar>
            <w:vAlign w:val="center"/>
          </w:tcPr>
          <w:p>
            <w:pPr>
              <w:jc w:val="center"/>
            </w:pPr>
            <w:r>
              <w:rPr>
                <w:b/>
                <w:bCs/>
                <w:color w:val="C8501F"/>
                <w:spacing w:val="40"/>
                <w:sz w:val="18"/>
                <w:szCs w:val="18"/>
              </w:rPr>
              <w:t xml:space="preserve">MEDIUM</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Neighborly executive content (Mike Hay CEO, Gagan Sinha CIO) is the primary engagement target — amplifying parent-franchisor thought leadership warms the portfolio path. Brand-specific brand-corp social presence likely modest. Use parent narrative as the inbound surface.</w:t>
            </w:r>
          </w:p>
        </w:tc>
      </w:tr>
    </w:tbl>
    <w:p>
      <w:pPr>
        <w:spacing w:after="160" w:before="160"/>
      </w:pPr>
      <w:r>
        <w:t xml:space="preserve"/>
      </w:r>
    </w:p>
    <w:p>
      <w:pPr>
        <w:spacing w:after="120" w:before="240"/>
      </w:pPr>
      <w:r>
        <w:rPr>
          <w:b/>
          <w:bCs/>
          <w:color w:val="1A2B3C"/>
          <w:sz w:val="28"/>
          <w:szCs w:val="28"/>
        </w:rPr>
        <w:t xml:space="preserve">💼  What's in this for the brand</w:t>
      </w:r>
    </w:p>
    <w:p>
      <w:pPr>
        <w:spacing w:after="120"/>
      </w:pPr>
      <w:r>
        <w:rPr>
          <w:color w:val="3A4A5C"/>
          <w:sz w:val="19"/>
          <w:szCs w:val="19"/>
        </w:rPr>
        <w:t xml:space="preserve">Operational ROI framing for the brand-corp audience. Brand presidents care about franchisee unit economics, royalty stream uplift, retention, and recruitment. They do not care about parent-franchisor exit math. Keep this section operational, not strategic.</w:t>
      </w:r>
    </w:p>
    <w:p>
      <w:pPr>
        <w:spacing w:after="80" w:before="80"/>
      </w:pPr>
      <w:r>
        <w:t xml:space="preserve"/>
      </w:r>
    </w:p>
    <w:p>
      <w:pPr>
        <w:spacing w:after="80" w:before="160"/>
      </w:pPr>
      <w:r>
        <w:rPr>
          <w:b/>
          <w:bCs/>
          <w:color w:val="1A2B3C"/>
          <w:sz w:val="22"/>
          <w:szCs w:val="22"/>
        </w:rPr>
        <w:t xml:space="preserve">Per-franchisee operational ROI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780"/>
      </w:tblGrid>
      <w:tr>
        <w:trPr>
          <w:tblHeader/>
        </w:trPr>
        <w:tc>
          <w:tcPr>
            <w:tcW w:type="dxa" w:w="350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LEVER</w:t>
            </w:r>
          </w:p>
        </w:tc>
        <w:tc>
          <w:tcPr>
            <w:tcW w:type="dxa" w:w="180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MR. ELECTRIC (NON-ST) VALUE</w:t>
            </w:r>
          </w:p>
        </w:tc>
        <w:tc>
          <w:tcPr>
            <w:tcW w:type="dxa" w:w="478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MATH</w:t>
            </w:r>
          </w:p>
        </w:tc>
      </w:tr>
      <w:tr>
        <w:trPr>
          <w:cantSplit/>
        </w:trPr>
        <w:tc>
          <w:tcPr>
            <w:tcW w:type="dxa" w:w="35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6"/>
                <w:szCs w:val="16"/>
              </w:rPr>
              <w:t xml:space="preserve">EBITDA improvement per tech / yr</w:t>
            </w:r>
          </w:p>
        </w:tc>
        <w:tc>
          <w:tcPr>
            <w:tcW w:type="dxa" w:w="18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8"/>
                <w:szCs w:val="18"/>
              </w:rPr>
              <w:t xml:space="preserve">$8K</w:t>
            </w:r>
          </w:p>
        </w:tc>
        <w:tc>
          <w:tcPr>
            <w:tcW w:type="dxa" w:w="4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val="false"/>
                <w:bCs w:val="false"/>
                <w:color w:val="3A4A5C"/>
                <w:sz w:val="14"/>
                <w:szCs w:val="14"/>
              </w:rPr>
              <w:t xml:space="preserve">Route efficiency · billing capture · dispatch speed</w:t>
            </w:r>
          </w:p>
        </w:tc>
      </w:tr>
      <w:tr>
        <w:trPr>
          <w:cantSplit/>
        </w:trPr>
        <w:tc>
          <w:tcPr>
            <w:tcW w:type="dxa" w:w="35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bCs/>
                <w:color w:val="1A2B3C"/>
                <w:sz w:val="16"/>
                <w:szCs w:val="16"/>
              </w:rPr>
              <w:t xml:space="preserve">Network EBITDA improvement (Mr. Electric (non-ST) scale, full adoption)</w:t>
            </w:r>
          </w:p>
        </w:tc>
        <w:tc>
          <w:tcPr>
            <w:tcW w:type="dxa" w:w="18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bCs/>
                <w:color w:val="1A2B3C"/>
                <w:sz w:val="18"/>
                <w:szCs w:val="18"/>
              </w:rPr>
              <w:t xml:space="preserve">$2M / yr (non-ST subset only)</w:t>
            </w:r>
          </w:p>
        </w:tc>
        <w:tc>
          <w:tcPr>
            <w:tcW w:type="dxa" w:w="4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val="false"/>
                <w:bCs w:val="false"/>
                <w:color w:val="3A4A5C"/>
                <w:sz w:val="14"/>
                <w:szCs w:val="14"/>
              </w:rPr>
              <w:t xml:space="preserve">~250 techs × $8K (CRM-derived non-ST subset)</w:t>
            </w:r>
          </w:p>
        </w:tc>
      </w:tr>
      <w:tr>
        <w:trPr>
          <w:cantSplit/>
        </w:trPr>
        <w:tc>
          <w:tcPr>
            <w:tcW w:type="dxa" w:w="35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6"/>
                <w:szCs w:val="16"/>
              </w:rPr>
              <w:t xml:space="preserve">Royalty stream uplift to brand corp (~6%)</w:t>
            </w:r>
          </w:p>
        </w:tc>
        <w:tc>
          <w:tcPr>
            <w:tcW w:type="dxa" w:w="18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8"/>
                <w:szCs w:val="18"/>
              </w:rPr>
              <w:t xml:space="preserve">$120K / yr</w:t>
            </w:r>
          </w:p>
        </w:tc>
        <w:tc>
          <w:tcPr>
            <w:tcW w:type="dxa" w:w="4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val="false"/>
                <w:bCs w:val="false"/>
                <w:color w:val="3A4A5C"/>
                <w:sz w:val="14"/>
                <w:szCs w:val="14"/>
              </w:rPr>
              <w:t xml:space="preserve">Direct uplift to brand-corp economics (~6%) on non-ST subset</w:t>
            </w:r>
          </w:p>
        </w:tc>
      </w:tr>
      <w:tr>
        <w:trPr>
          <w:cantSplit/>
        </w:trPr>
        <w:tc>
          <w:tcPr>
            <w:tcW w:type="dxa" w:w="35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bCs/>
                <w:color w:val="1A2B3C"/>
                <w:sz w:val="16"/>
                <w:szCs w:val="16"/>
              </w:rPr>
              <w:t xml:space="preserve">Y1 ARR contribution to Neighborly portfolio (10% penetration)</w:t>
            </w:r>
          </w:p>
        </w:tc>
        <w:tc>
          <w:tcPr>
            <w:tcW w:type="dxa" w:w="18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bCs/>
                <w:color w:val="1A2B3C"/>
                <w:sz w:val="18"/>
                <w:szCs w:val="18"/>
              </w:rPr>
              <w:t xml:space="preserve">$7,500</w:t>
            </w:r>
          </w:p>
        </w:tc>
        <w:tc>
          <w:tcPr>
            <w:tcW w:type="dxa" w:w="4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val="false"/>
                <w:bCs w:val="false"/>
                <w:color w:val="3A4A5C"/>
                <w:sz w:val="14"/>
                <w:szCs w:val="14"/>
              </w:rPr>
              <w:t xml:space="preserve">25 techs × $300/tech/yr SB pricing — first-year achievable at 10% penetration</w:t>
            </w:r>
          </w:p>
        </w:tc>
      </w:tr>
      <w:tr>
        <w:trPr>
          <w:cantSplit/>
        </w:trPr>
        <w:tc>
          <w:tcPr>
            <w:tcW w:type="dxa" w:w="35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6"/>
                <w:szCs w:val="16"/>
              </w:rPr>
              <w:t xml:space="preserve">Implementation timeline</w:t>
            </w:r>
          </w:p>
        </w:tc>
        <w:tc>
          <w:tcPr>
            <w:tcW w:type="dxa" w:w="18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8"/>
                <w:szCs w:val="18"/>
              </w:rPr>
              <w:t xml:space="preserve">30-day pilot, 90-day full deployment</w:t>
            </w:r>
          </w:p>
        </w:tc>
        <w:tc>
          <w:tcPr>
            <w:tcW w:type="dxa" w:w="4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val="false"/>
                <w:bCs w:val="false"/>
                <w:color w:val="3A4A5C"/>
                <w:sz w:val="14"/>
                <w:szCs w:val="14"/>
              </w:rPr>
              <w:t xml:space="preserve">Standard SB onboarding · PE-gated coordination adds upstream timeline</w:t>
            </w:r>
          </w:p>
        </w:tc>
      </w:tr>
    </w:tbl>
    <w:p>
      <w:pPr>
        <w:spacing w:after="120" w:before="120"/>
      </w:pPr>
      <w:r>
        <w:t xml:space="preserve"/>
      </w:r>
    </w:p>
    <w:p>
      <w:pPr>
        <w:spacing w:after="80" w:before="160"/>
      </w:pPr>
      <w:r>
        <w:rPr>
          <w:b/>
          <w:bCs/>
          <w:color w:val="1A2B3C"/>
          <w:sz w:val="22"/>
          <w:szCs w:val="22"/>
        </w:rPr>
        <w:t xml:space="preserve">Retention and recruitment narrative</w:t>
      </w:r>
    </w:p>
    <w:p>
      <w:pPr>
        <w:pStyle w:val="ListParagraph"/>
        <w:numPr>
          <w:ilvl w:val="0"/>
          <w:numId w:val="2"/>
        </w:numPr>
        <w:spacing w:after="80"/>
      </w:pPr>
      <w:r>
        <w:rPr>
          <w:color w:val="3A4A5C"/>
          <w:sz w:val="19"/>
          <w:szCs w:val="19"/>
        </w:rPr>
        <w:t xml:space="preserve">Franchisee retention: non-ST subset franchisees may welcome platform choice — they have not opted into the ST mandate. Brand-led FSM through Neighborly's preferred-vendor pathway formalizes their existing flexibility.</w:t>
      </w:r>
    </w:p>
    <w:p>
      <w:pPr>
        <w:pStyle w:val="ListParagraph"/>
        <w:numPr>
          <w:ilvl w:val="0"/>
          <w:numId w:val="2"/>
        </w:numPr>
        <w:spacing w:after="80"/>
      </w:pPr>
      <w:r>
        <w:rPr>
          <w:color w:val="3A4A5C"/>
          <w:sz w:val="19"/>
          <w:szCs w:val="19"/>
        </w:rPr>
        <w:t xml:space="preserve">Franchisee recruitment: Neighborly portfolio brand-promise inclusion lifts recruitment yield. Non-ST subset specifically has untapped franchisee preference signaling opportunity.</w:t>
      </w:r>
    </w:p>
    <w:p>
      <w:pPr>
        <w:pStyle w:val="ListParagraph"/>
        <w:numPr>
          <w:ilvl w:val="0"/>
          <w:numId w:val="2"/>
        </w:numPr>
        <w:spacing w:after="80"/>
      </w:pPr>
      <w:r>
        <w:rPr>
          <w:color w:val="3A4A5C"/>
          <w:sz w:val="19"/>
          <w:szCs w:val="19"/>
        </w:rPr>
        <w:t xml:space="preserve">Reporting visibility: Neighborly currently has limited brand-corp visibility into non-ST subset operations. Standardized data captures missing telemetry for portfolio-level decisions.</w:t>
      </w:r>
    </w:p>
    <w:p>
      <w:pPr>
        <w:spacing w:after="120" w:before="120"/>
      </w:pPr>
      <w:r>
        <w:t xml:space="preserve"/>
      </w:r>
    </w:p>
    <w:p>
      <w:pPr>
        <w:spacing w:after="80" w:before="160"/>
      </w:pPr>
      <w:r>
        <w:rPr>
          <w:b/>
          <w:bCs/>
          <w:color w:val="1A2B3C"/>
          <w:sz w:val="22"/>
          <w:szCs w:val="22"/>
        </w:rPr>
        <w:t xml:space="preserve">Bridge upward — parent franchisor narrative</w:t>
      </w:r>
    </w:p>
    <w:tbl>
      <w:tblPr>
        <w:tblW w:type="dxa" w:w="10080"/>
        <w:tblBorders>
          <w:top w:val="single" w:color="D0D5DD" w:sz="6"/>
          <w:left w:val="single" w:color="D0D5DD" w:sz="6"/>
          <w:bottom w:val="single" w:color="D0D5DD" w:sz="6"/>
          <w:right w:val="single" w:color="D0D5DD" w:sz="6"/>
          <w:insideH w:val="single" w:color="auto" w:sz="4"/>
          <w:insideV w:val="single" w:color="auto" w:sz="4"/>
        </w:tblBorders>
      </w:tblPr>
      <w:tblGrid>
        <w:gridCol w:w="10080"/>
      </w:tblGrid>
      <w:tr>
        <w:tc>
          <w:tcPr>
            <w:tcW w:type="dxa" w:w="10080"/>
            <w:shd w:fill="F5F6F8" w:val="clear"/>
            <w:tcMar>
              <w:top w:type="dxa" w:w="200"/>
              <w:left w:type="dxa" w:w="280"/>
              <w:bottom w:type="dxa" w:w="200"/>
              <w:right w:type="dxa" w:w="280"/>
            </w:tcMar>
          </w:tcPr>
          <w:p>
            <w:pPr>
              <w:spacing w:after="100"/>
            </w:pPr>
            <w:r>
              <w:rPr>
                <w:color w:val="3A4A5C"/>
                <w:sz w:val="19"/>
                <w:szCs w:val="19"/>
              </w:rPr>
              <w:t xml:space="preserve">Brand-corp commitments at Mr. Electric (non-ST) compound at Neighborly portfolio level only when coordinated through PE-gated pathway. Charles → Accel-KKR → KKR warm path is the bridge — independent brand-corp engagement risks fragmenting the strategic conversation. Internal narrative; not foregrounded in any direct outreach.</w:t>
            </w:r>
          </w:p>
        </w:tc>
      </w:tr>
    </w:tbl>
    <w:p>
      <w:pPr>
        <w:spacing w:after="120" w:before="120"/>
      </w:pPr>
      <w:r>
        <w:t xml:space="preserve"/>
      </w:r>
    </w:p>
    <w:p>
      <w:pPr>
        <w:spacing w:after="120" w:before="240"/>
      </w:pPr>
      <w:r>
        <w:rPr>
          <w:b/>
          <w:bCs/>
          <w:color w:val="1A2B3C"/>
          <w:sz w:val="28"/>
          <w:szCs w:val="28"/>
        </w:rPr>
        <w:t xml:space="preserve">⚔️  Competitive landscape — brand-level FSM map</w:t>
      </w:r>
    </w:p>
    <w:tbl>
      <w:tblPr>
        <w:tblW w:type="dxa" w:w="10080"/>
        <w:tblBorders>
          <w:top w:val="single" w:color="D0D5DD" w:sz="6"/>
          <w:left w:val="single" w:color="D0D5DD" w:sz="6"/>
          <w:bottom w:val="single" w:color="D0D5DD" w:sz="6"/>
          <w:right w:val="single" w:color="D0D5DD" w:sz="6"/>
          <w:insideH w:val="single" w:color="auto" w:sz="4"/>
          <w:insideV w:val="single" w:color="auto" w:sz="4"/>
        </w:tblBorders>
      </w:tblPr>
      <w:tblGrid>
        <w:gridCol w:w="10080"/>
      </w:tblGrid>
      <w:tr>
        <w:tc>
          <w:tcPr>
            <w:tcW w:type="dxa" w:w="10080"/>
            <w:shd w:fill="F5F6F8" w:val="clear"/>
            <w:tcMar>
              <w:top w:type="dxa" w:w="200"/>
              <w:left w:type="dxa" w:w="280"/>
              <w:bottom w:type="dxa" w:w="200"/>
              <w:right w:type="dxa" w:w="280"/>
            </w:tcMar>
          </w:tcPr>
          <w:p>
            <w:pPr>
              <w:spacing w:after="100"/>
            </w:pPr>
            <w:r>
              <w:rPr>
                <w:b/>
                <w:bCs/>
                <w:color w:val="1A2B3C"/>
                <w:sz w:val="22"/>
                <w:szCs w:val="22"/>
              </w:rPr>
              <w:t xml:space="preserve">Mr. Electric (non-ST) FSM posture: GREENFIELD (within non-ST carve-out)</w:t>
            </w:r>
          </w:p>
          <w:p>
            <w:pPr>
              <w:spacing w:after="100"/>
            </w:pPr>
            <w:r>
              <w:rPr>
                <w:color w:val="3A4A5C"/>
                <w:sz w:val="19"/>
                <w:szCs w:val="19"/>
              </w:rPr>
              <w:t xml:space="preserve">Mr. Electric (non-ST) operates in GREENFIELD posture within the carved-out subset — but the broader brand is MANDATED to ServiceTitan since 2012. The engagement question is brand-corp pathway through Neighborly's PE-gated structure, not direct displacement.</w:t>
            </w:r>
          </w:p>
          <w:p>
            <w:pPr>
              <w:spacing w:after="100"/>
            </w:pPr>
            <w:r>
              <w:rPr>
                <w:color w:val="3A4A5C"/>
                <w:sz w:val="19"/>
                <w:szCs w:val="19"/>
              </w:rPr>
              <w:t xml:space="preserve">Generalized framework: brand corps split into four FSM postures — (1) MANDATED, (2) PREFERRED, (3) MIXED, (4) GREENFIELD. Mr. Electric (non-ST) = GREENFIELD subset within MANDATED parent brand.</w:t>
            </w:r>
          </w:p>
          <w:p>
            <w:pPr>
              <w:spacing w:after="100"/>
            </w:pPr>
            <w:r>
              <w:rPr>
                <w:color w:val="3A4A5C"/>
                <w:sz w:val="19"/>
                <w:szCs w:val="19"/>
              </w:rPr>
              <w:t xml:space="preserve">Competitive risk: ServiceTitan likely pursuing the non-ST subset to extend the mandate. Engagement window narrows as ST consolidates franchisee adoption across remaining locations.</w:t>
            </w:r>
          </w:p>
          <w:p>
            <w:pPr>
              <w:spacing w:after="100"/>
            </w:pPr>
            <w:r>
              <w:rPr>
                <w:color w:val="3A4A5C"/>
                <w:sz w:val="19"/>
                <w:szCs w:val="19"/>
              </w:rPr>
              <w:t xml:space="preserve">Adjacent Neighborly brands (Aire Serv non-ST, Mosquito Joe non-ST) follow similar pattern. Coordinate brand-corp engagement across these subsets through PE-gated pathway.</w:t>
            </w:r>
          </w:p>
        </w:tc>
      </w:tr>
    </w:tbl>
    <w:p>
      <w:pPr>
        <w:spacing w:after="120" w:before="120"/>
      </w:pPr>
      <w:r>
        <w:t xml:space="preserve"/>
      </w:r>
    </w:p>
    <w:p>
      <w:pPr>
        <w:spacing w:after="120" w:before="240"/>
      </w:pPr>
      <w:r>
        <w:rPr>
          <w:b/>
          <w:bCs/>
          <w:color w:val="1A2B3C"/>
          <w:sz w:val="28"/>
          <w:szCs w:val="28"/>
        </w:rPr>
        <w:t xml:space="preserve">📐  How we scored this</w:t>
      </w:r>
    </w:p>
    <w:tbl>
      <w:tblPr>
        <w:tblW w:type="dxa" w:w="10080"/>
        <w:tblBorders>
          <w:top w:val="single" w:color="E8D89C" w:sz="6"/>
          <w:left w:val="single" w:color="E8D89C" w:sz="6"/>
          <w:bottom w:val="single" w:color="E8D89C" w:sz="6"/>
          <w:right w:val="single" w:color="E8D89C" w:sz="6"/>
          <w:insideH w:val="single" w:color="auto" w:sz="4"/>
          <w:insideV w:val="single" w:color="auto" w:sz="4"/>
        </w:tblBorders>
      </w:tblPr>
      <w:tblGrid>
        <w:gridCol w:w="10080"/>
      </w:tblGrid>
      <w:tr>
        <w:tc>
          <w:tcPr>
            <w:tcW w:type="dxa" w:w="10080"/>
            <w:shd w:fill="FBF4E0" w:val="clear"/>
            <w:tcMar>
              <w:top w:type="dxa" w:w="200"/>
              <w:left w:type="dxa" w:w="280"/>
              <w:bottom w:type="dxa" w:w="200"/>
              <w:right w:type="dxa" w:w="280"/>
            </w:tcMar>
          </w:tcPr>
          <w:p>
            <w:pPr>
              <w:spacing w:after="100"/>
            </w:pPr>
            <w:r>
              <w:rPr>
                <w:b/>
                <w:bCs/>
                <w:color w:val="1A2B3C"/>
                <w:sz w:val="22"/>
                <w:szCs w:val="22"/>
              </w:rPr>
              <w:t xml:space="preserve">V2 framework calculation for Mr. Electric (non-ST)</w:t>
            </w:r>
          </w:p>
          <w:p>
            <w:pPr>
              <w:spacing w:after="100"/>
            </w:pPr>
            <w:r>
              <w:rPr>
                <w:color w:val="3A4A5C"/>
                <w:sz w:val="19"/>
                <w:szCs w:val="19"/>
              </w:rPr>
              <w:t xml:space="preserve">V2 brand-corp scoring uses 7 dimensions weighted for brand-corp velocity: Greenfield (30%), Network (15%), PE (10%), DM Access (15%), Urgency (15%), Displacement (5%), C/B Mix (10%) — plus parent-tier inheritance bonus.</w:t>
            </w:r>
          </w:p>
          <w:p>
            <w:pPr>
              <w:spacing w:after="100"/>
            </w:pPr>
            <w:r>
              <w:rPr>
                <w:color w:val="3A4A5C"/>
                <w:sz w:val="19"/>
                <w:szCs w:val="19"/>
              </w:rPr>
              <w:t xml:space="preserve">Mr. Electric (non-ST) dimension scores: Greenfield 70/100, Network 30/100, PE 90/100, DM Access 40/100, Urgency 75/100, Displacement 35/100, C/B Mix 60/100.</w:t>
            </w:r>
          </w:p>
          <w:p>
            <w:pPr>
              <w:spacing w:after="100"/>
            </w:pPr>
            <w:r>
              <w:rPr>
                <w:color w:val="3A4A5C"/>
                <w:sz w:val="19"/>
                <w:szCs w:val="19"/>
              </w:rPr>
              <w:t xml:space="preserve">Weighted base score: (70×0.30) + (30×0.15) + (90×0.10) + (40×0.15) + (75×0.15) + (35×0.05) + (60×0.10) = 56 base. Plus parent inheritance bonus +5 (P1 · #1 PE-GATED)  = 61 total.</w:t>
            </w:r>
          </w:p>
          <w:p>
            <w:pPr>
              <w:spacing w:after="100"/>
            </w:pPr>
            <w:r>
              <w:rPr>
                <w:color w:val="3A4A5C"/>
                <w:sz w:val="19"/>
                <w:szCs w:val="19"/>
              </w:rPr>
              <w:t xml:space="preserve">Score 61 = T5 QUEUE — DEVELOP per the Track 2 tier framework. Tier brackets: 100+ = T1, 90-99 = T2, 80-89 = T3, 70-79 = T4, 60-69 = T5, 50-59 = T6, 40-49 = T7, &lt;40 or excluded = T8.</w:t>
            </w:r>
          </w:p>
        </w:tc>
      </w:tr>
    </w:tbl>
    <w:p>
      <w:pPr>
        <w:spacing w:after="160" w:before="160"/>
      </w:pPr>
      <w:r>
        <w:t xml:space="preserve"/>
      </w:r>
    </w:p>
    <w:p>
      <w:pPr>
        <w:pBdr>
          <w:bottom w:val="single" w:color="185FA5" w:sz="6" w:space="1"/>
        </w:pBdr>
        <w:spacing w:after="200"/>
      </w:pPr>
      <w:r>
        <w:t xml:space="preserve"/>
      </w:r>
    </w:p>
    <w:p>
      <w:pPr>
        <w:jc w:val="center"/>
      </w:pPr>
      <w:r>
        <w:rPr>
          <w:i/>
          <w:iCs/>
          <w:color w:val="6B7A8B"/>
          <w:sz w:val="17"/>
          <w:szCs w:val="17"/>
        </w:rPr>
        <w:t xml:space="preserve">— End of Mr. Electric (non-ST) readiness package —</w:t>
      </w:r>
    </w:p>
    <w:p>
      <w:pPr>
        <w:spacing w:after="60" w:before="60"/>
      </w:pPr>
      <w:r>
        <w:t xml:space="preserve"/>
      </w:r>
    </w:p>
    <w:p>
      <w:pPr>
        <w:jc w:val="center"/>
      </w:pPr>
      <w:r>
        <w:rPr>
          <w:i/>
          <w:iCs/>
          <w:color w:val="6B7A8B"/>
          <w:sz w:val="15"/>
          <w:szCs w:val="15"/>
        </w:rPr>
        <w:t xml:space="preserve">Velocity GTM Co LLC  ·  Stage 2 Brand-Corp Readiness  ·  Mr. Electric (non-ST)  ·  Built from CRM v15.6  ·  April 30, 2026</w:t>
      </w:r>
    </w:p>
    <w:sectPr>
      <w:headerReference w:type="default" r:id="rId7"/>
      <w:footerReference w:type="default" r:id="rId8"/>
      <w:pgSz w:w="12240" w:h="15840" w:orient="portrait"/>
      <w:pgMar w:top="1080" w:right="1080" w:bottom="1080" w:left="1080" w:header="540" w:footer="5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A8B"/>
        <w:sz w:val="16"/>
        <w:szCs w:val="16"/>
      </w:rPr>
      <w:t xml:space="preserve">Velocity GTM Co LLC  ·  April 30, 2026  ·  Page </w:t>
    </w:r>
    <w:r>
      <w:rPr>
        <w:color w:val="6B7A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6B7A8B"/>
        <w:sz w:val="14"/>
        <w:szCs w:val="14"/>
      </w:rPr>
      <w:t xml:space="preserve">STAGE 2 · BRAND-CORP READINESS  ·  MR. ELECTRIC (NON-ST)  ·  CRM v15.6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Mr. Electric (non-ST) Stage 2 Brand-Corp Readiness Package — CRM v15.6</dc:title>
  <dc:creator>Michael Montgomery Flynt Jr</dc:creator>
  <cp:lastModifiedBy>Un-named</cp:lastModifiedBy>
  <cp:revision>1</cp:revision>
  <dcterms:created xsi:type="dcterms:W3CDTF">2026-04-30T23:55:09.462Z</dcterms:created>
  <dcterms:modified xsi:type="dcterms:W3CDTF">2026-04-30T23:55:09.462Z</dcterms:modified>
</cp:coreProperties>
</file>

<file path=docProps/custom.xml><?xml version="1.0" encoding="utf-8"?>
<Properties xmlns="http://schemas.openxmlformats.org/officeDocument/2006/custom-properties" xmlns:vt="http://schemas.openxmlformats.org/officeDocument/2006/docPropsVTypes"/>
</file>