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Z Plumberz</w:t>
      </w:r>
    </w:p>
    <w:p>
      <w:pPr>
        <w:spacing w:after="120"/>
        <w:jc w:val="center"/>
      </w:pPr>
      <w:r>
        <w:rPr>
          <w:i/>
          <w:iCs/>
          <w:color w:val="6B7A8B"/>
          <w:sz w:val="17"/>
          <w:szCs w:val="17"/>
        </w:rPr>
        <w:t xml:space="preserve">Parent: BELFOR Franchise Group  ·  Vertical: Plumbing &amp; Drain Services (residential + commercial)</w:t>
      </w:r>
    </w:p>
    <w:p>
      <w:pPr>
        <w:spacing w:after="120"/>
        <w:jc w:val="center"/>
      </w:pPr>
      <w:r>
        <w:rPr>
          <w:i/>
          <w:iCs/>
          <w:color w:val="6B7A8B"/>
          <w:sz w:val="17"/>
          <w:szCs w:val="17"/>
        </w:rPr>
        <w:t xml:space="preserve">V2 Score: 113  ·  Tier: T1 LEAD PILOT — DEEP ENGAGE  ·  P2 · #1 · DE-FACTO ANCHOR</w:t>
      </w:r>
    </w:p>
    <w:p>
      <w:pPr>
        <w:spacing w:after="60" w:before="60"/>
      </w:pPr>
      <w:r>
        <w:t xml:space="preserve"/>
      </w:r>
    </w:p>
    <w:tbl>
      <w:tblPr>
        <w:tblW w:type="dxa" w:w="10080"/>
        <w:tblBorders>
          <w:top w:val="single" w:color="0B3D6B" w:sz="0"/>
          <w:left w:val="single" w:color="0B3D6B" w:sz="0"/>
          <w:bottom w:val="single" w:color="0B3D6B" w:sz="0"/>
          <w:right w:val="single" w:color="0B3D6B" w:sz="0"/>
          <w:insideH w:val="single" w:color="auto" w:sz="4"/>
          <w:insideV w:val="single" w:color="auto" w:sz="4"/>
        </w:tblBorders>
      </w:tblPr>
      <w:tblGrid>
        <w:gridCol w:w="10080"/>
      </w:tblGrid>
      <w:tr>
        <w:tc>
          <w:tcPr>
            <w:tcW w:type="dxa" w:w="10080"/>
            <w:tcBorders>
              <w:top w:val="single" w:color="0B3D6B" w:sz="4"/>
              <w:left w:val="single" w:color="0B3D6B" w:sz="4"/>
              <w:bottom w:val="single" w:color="0B3D6B" w:sz="4"/>
              <w:right w:val="single" w:color="0B3D6B" w:sz="4"/>
            </w:tcBorders>
            <w:shd w:fill="0B3D6B" w:val="clear"/>
            <w:tcMar>
              <w:top w:type="dxa" w:w="180"/>
              <w:left w:type="dxa" w:w="280"/>
              <w:bottom w:type="dxa" w:w="180"/>
              <w:right w:type="dxa" w:w="280"/>
            </w:tcMar>
            <w:vAlign w:val="center"/>
          </w:tcPr>
          <w:p>
            <w:pPr>
              <w:jc w:val="center"/>
            </w:pPr>
            <w:r>
              <w:rPr>
                <w:b/>
                <w:bCs/>
                <w:color w:val="FFFFFF"/>
                <w:spacing w:val="80"/>
                <w:sz w:val="24"/>
                <w:szCs w:val="24"/>
              </w:rPr>
              <w:t xml:space="preserve">⭐  NORTHSTAR REFERENCE  ·  P2 PATTERN LIBRARY</w:t>
            </w:r>
          </w:p>
          <w:p>
            <w:pPr>
              <w:spacing w:before="80"/>
              <w:jc w:val="center"/>
            </w:pPr>
            <w:r>
              <w:rPr>
                <w:i/>
                <w:iCs/>
                <w:color w:val="FFFFFF"/>
                <w:sz w:val="16"/>
                <w:szCs w:val="16"/>
              </w:rPr>
              <w:t xml:space="preserve">Use as reference pattern for greenfield engagement at Track 1 P1 brands  ·  Not currently an active engagement target</w:t>
            </w:r>
          </w:p>
        </w:tc>
      </w:tr>
    </w:tbl>
    <w:p>
      <w:pPr>
        <w:spacing w:after="60" w:before="60"/>
      </w:pPr>
      <w:r>
        <w:t xml:space="preserve"/>
      </w:r>
    </w:p>
    <w:tbl>
      <w:tblPr>
        <w:tblW w:type="dxa" w:w="10080"/>
        <w:tblBorders>
          <w:top w:val="single" w:color="8B0000" w:sz="0"/>
          <w:left w:val="single" w:color="8B0000" w:sz="0"/>
          <w:bottom w:val="single" w:color="8B0000" w:sz="0"/>
          <w:right w:val="single" w:color="8B0000" w:sz="0"/>
          <w:insideH w:val="single" w:color="auto" w:sz="4"/>
          <w:insideV w:val="single" w:color="auto" w:sz="4"/>
        </w:tblBorders>
      </w:tblPr>
      <w:tblGrid>
        <w:gridCol w:w="10080"/>
      </w:tblGrid>
      <w:tr>
        <w:tc>
          <w:tcPr>
            <w:tcW w:type="dxa" w:w="10080"/>
            <w:tcBorders>
              <w:top w:val="single" w:color="8B0000" w:sz="4"/>
              <w:left w:val="single" w:color="8B0000" w:sz="4"/>
              <w:bottom w:val="single" w:color="8B0000" w:sz="4"/>
              <w:right w:val="single" w:color="8B0000" w:sz="4"/>
            </w:tcBorders>
            <w:shd w:fill="8B0000" w:val="clear"/>
            <w:tcMar>
              <w:top w:type="dxa" w:w="180"/>
              <w:left w:type="dxa" w:w="280"/>
              <w:bottom w:type="dxa" w:w="180"/>
              <w:right w:type="dxa" w:w="280"/>
            </w:tcMar>
            <w:vAlign w:val="center"/>
          </w:tcPr>
          <w:p>
            <w:pPr>
              <w:jc w:val="center"/>
            </w:pPr>
            <w:r>
              <w:rPr>
                <w:b/>
                <w:bCs/>
                <w:color w:val="FFFFFF"/>
                <w:spacing w:val="80"/>
                <w:sz w:val="26"/>
                <w:szCs w:val="26"/>
              </w:rPr>
              <w:t xml:space="preserve">🔴  T1 LEAD PILOT — DEEP ENGAGE</w:t>
            </w:r>
          </w:p>
        </w:tc>
      </w:tr>
    </w:tbl>
    <w:p>
      <w:pPr>
        <w:spacing w:after="120" w:before="120"/>
      </w:pPr>
      <w:r>
        <w:t xml:space="preserve"/>
      </w:r>
    </w:p>
    <w:p>
      <w:pPr>
        <w:spacing w:after="120" w:before="240"/>
      </w:pPr>
      <w:r>
        <w:rPr>
          <w:b/>
          <w:bCs/>
          <w:color w:val="1A2B3C"/>
          <w:sz w:val="28"/>
          <w:szCs w:val="28"/>
        </w:rPr>
        <w:t xml:space="preserve">My read on Z Plumberz</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Z Plumberz scores #1 of 78 — the convergence story</w:t>
            </w:r>
          </w:p>
          <w:p>
            <w:pPr>
              <w:spacing w:after="100"/>
            </w:pPr>
            <w:r>
              <w:rPr>
                <w:color w:val="3A4A5C"/>
                <w:sz w:val="19"/>
                <w:szCs w:val="19"/>
              </w:rPr>
              <w:t xml:space="preserve">Z Plumberz scored 113 — the highest combined score of any brand corp in the entire Track 2 set — because it sits at a rare convergence of seven attributes that all favor ServiceBridge engagement: it's the youngest, fastest-growing brand inside BELFOR Franchise Group; the parent already has 94% de facto SB adoption in adjacent brands (HOODZ, DUCTZ); the plumbing vertical is one of ServiceBridge's strongest natural fits (recurring service, dispatch density, owner-operator buyers); the franchise model is greenfield by design (no incumbent FSM mandate to displace); the brand-corp leadership is small and accessible (founder-led structure within BELFOR); American Securities (BELFOR PE) is approaching its 2026-2027 exit window (which means brand-level ARR contributing to portfolio EBITDA matters now); and the Track 1 P2 conversion play means HOODZ-pattern playbook is directly applicable.</w:t>
            </w:r>
          </w:p>
          <w:p>
            <w:pPr>
              <w:spacing w:after="100"/>
            </w:pPr>
            <w:r>
              <w:rPr>
                <w:color w:val="3A4A5C"/>
                <w:sz w:val="19"/>
                <w:szCs w:val="19"/>
              </w:rPr>
              <w:t xml:space="preserve">What this means strategically: Z Plumberz is the brand corp where every signal aligns. Other brands score high on subsets of these attributes. Z Plumberz scores high on all of them. As a NorthStar reference, this package documents what every signal aligned looks like — use it as the pattern recognition tool for evaluating P1 brand-corp opportunities.</w:t>
            </w:r>
          </w:p>
          <w:p>
            <w:pPr>
              <w:spacing w:after="100"/>
            </w:pPr>
            <w:r>
              <w:rPr>
                <w:color w:val="3A4A5C"/>
                <w:sz w:val="19"/>
                <w:szCs w:val="19"/>
              </w:rPr>
              <w:t xml:space="preserve">How HOODZ informs Z Plumberz: HOODZ reached 94% organic adoption with no brand-corp engagement at all. The lesson isn't 'replicate HOODZ' — it's 'don't wait for HOODZ to happen organically.' For greenfield P1 brand corps, the pattern is: go to the brand corp first, present BELFOR portfolio adoption pattern as evidence (HOODZ + DUCTZ both at 94%+), and offer a brand-led rollout that codifies the path before franchisees fragment into ad-hoc choices.</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BELFOR portfolio context first. Z Plumberz inherits the de-facto-anchor pattern from HOODZ + DUCTZ. Lead every brand-corp conversation by anchoring in the BELFOR FSM adoption pattern across sister brands — that's the credibility opener.</w:t>
      </w:r>
    </w:p>
    <w:p>
      <w:pPr>
        <w:pStyle w:val="ListParagraph"/>
        <w:numPr>
          <w:ilvl w:val="0"/>
          <w:numId w:val="2"/>
        </w:numPr>
        <w:spacing w:after="80"/>
      </w:pPr>
      <w:r>
        <w:rPr>
          <w:color w:val="3A4A5C"/>
          <w:sz w:val="19"/>
          <w:szCs w:val="19"/>
        </w:rPr>
        <w:t xml:space="preserve">Greenfield + plumbing + franchise = sweet spot. Plumbing brands historically score highest in our greenfield velocity dimension. Z Plumberz plumbs a vertical where ServiceBridge already has demonstrated network effects.</w:t>
      </w:r>
    </w:p>
    <w:p>
      <w:pPr>
        <w:pStyle w:val="ListParagraph"/>
        <w:numPr>
          <w:ilvl w:val="0"/>
          <w:numId w:val="2"/>
        </w:numPr>
        <w:spacing w:after="80"/>
      </w:pPr>
      <w:r>
        <w:rPr>
          <w:color w:val="3A4A5C"/>
          <w:sz w:val="19"/>
          <w:szCs w:val="19"/>
        </w:rPr>
        <w:t xml:space="preserve">Founder-led brand structure = direct-access path. Unlike Neighborly's professionalized brand-corp layer, Z Plumberz operates with a smaller leadership team. Direct outreach to brand-corp leadership is viable here in ways it wouldn't be at Mr. Rooter.</w:t>
      </w:r>
    </w:p>
    <w:p>
      <w:pPr>
        <w:pStyle w:val="ListParagraph"/>
        <w:numPr>
          <w:ilvl w:val="0"/>
          <w:numId w:val="2"/>
        </w:numPr>
        <w:spacing w:after="80"/>
      </w:pPr>
      <w:r>
        <w:rPr>
          <w:color w:val="3A4A5C"/>
          <w:sz w:val="19"/>
          <w:szCs w:val="19"/>
        </w:rPr>
        <w:t xml:space="preserve">PE exit timing favors brand-led rollout NOW. American Securities is in Year 6+ of BELFOR hold. Brand-level ARR contributions to portfolio EBITDA are most valuable in the 12-18 months pre-exit — exactly the window we're in.</w:t>
      </w:r>
    </w:p>
    <w:p>
      <w:pPr>
        <w:pStyle w:val="ListParagraph"/>
        <w:numPr>
          <w:ilvl w:val="0"/>
          <w:numId w:val="2"/>
        </w:numPr>
        <w:spacing w:after="80"/>
      </w:pPr>
      <w:r>
        <w:rPr>
          <w:color w:val="3A4A5C"/>
          <w:sz w:val="19"/>
          <w:szCs w:val="19"/>
        </w:rPr>
        <w:t xml:space="preserve">HOODZ-style organic adoption is happening at Z Plumberz franchisees today. Andrea/GPSI database query likely to confirm meaningful (~20-40%) ad-hoc adoption already. We capture and codify this pattern, not start from zero.</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Franchise Group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American Securities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American Securities portfolio</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P2 · DE-FACTO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Plumbing &amp; drain services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zplumberz.com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500 (~5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20-40% organic</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mandate — greenfield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V2 character: GREENFIELD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 / founder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Plumbing-vertical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GPSI database query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GPSI customer database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FG-level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Mixed — heavily residential + light commercial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Z Plumberz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Low-moderate — limited brand-corp social presence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web search</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Z PLUMBERZ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HIGH — no FSM mandate, plumbing vertical paper-based historically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PRIORITY BUMP. 25% weight at brand-corp level. Primary engagement opener.</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Likely QuickBooks-mixed — needs validation via GPSI database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QB-only without FSM = strongest greenfield proxy. Validate before pitching specific stack ROI.</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Mixed — heavy residential plumbing + light commercial</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franchisees favor reviews/local marketing. Recurring-billing ROI math still strong for plumbing.</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BELFOR FG-level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BFG-level vendor vetting. Brand-corp endorsement can fast-track adoption via parent channel.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Plumbing — strong ServiceBridge fit (recurring, dispatch-density, owner-operator)</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Plumbing/cleaning/restoration/route-recurring are highest-fit verticals. Z Plumberz hits the sweet spot.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Mid-size — ~100 locs / ~500 techs (CRM estimate)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Mid-size brand. Not so large it slows decisions, large enough for material ARR ($150K+ at 10% penetration).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 (younger brand still expanding)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brands open enterprise channels but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Plumbing brands often have multi-unit operators. High density = enterprise-style buying conversation.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TBD — GPSI database query (priority intel gap)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Even partial overlap unlocks introductions.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GREENFIELD — no incumbent FSM mandate; ad-hoc franchisee choice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Greenfield &gt; paper &gt; displacement. Z Plumberz is greenfield. Engagement velocity highest here.</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TBD — research gap; likely founder-stable</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If brand president stable: relationship play. If recent change: open-roadmap play.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Low-moderate brand-corp visibility</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viable but not primary.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Z Plumberz's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Doug Smith (SVP Franchise Development, BFG) — sees franchisee adoption data daily across BFG portfolio · Beth Toenies (VP FD) — second-stage warm path · GPSI customer overlap query (any Z Plumberz franchisees in GPSI database) · BELFOR Holdings operating partner conversations via American Securities (gated on parent franchisor track) · Sister-brand context: HOODZ + DUCTZ at 94% SB adoption is the credibility opener for any Z Plumberz brand-corp conversation.</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Brand-corp leadership likely small (founder-led structure typical for younger BFG brands). LinkedIn presence likely modest. Direct outreach viable AFTER warm path has surfaced names — not as opening move. Plumbing-specific value framing required: dispatch density, route efficiency, billing capture — speak the franchisee unit economics language. Cold outreach to franchisees is out of scope (they're the existing implicit customer base).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Plumbing vertical: Plumbing &amp; Mechanical magazine, ContractorMag, Plumbing Engineer. Franchise vertical: Franchise Times, Entrepreneur Franchise 500. Joint case study with HOODZ franchisee leadership (within license/permission boundaries) becomes high-leverage proof material — turn HOODZ's 94% adoption into industry narrative that Z Plumberz brand-corp reads. Podcasts to consider: The Service Industry podcast, Tradies Success Quest.</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BFG hosts internal franchisee conferences — coordinate brand-level reinforcement at parent events. Plumbing trade shows: PHCC Connect, AHR Expo. Franchise events: International Franchise Association (IFA) Annual Convention, Franchise Update Multi-Unit Franchising Conference. Challenge coin / hand-mailed proof reports work especially well in plumbing brand cultures (skilled-trade pride). America 250 letter campaign already targets BFG portfolio — coordinate brand-level reinforcement to brand-corp leadership.</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LOW-MEDIUM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Z Plumberz brand-corp social presence likely modest — limits direct engagement value. However, BELFOR FG executive content (Doug Smith, Rusty Amarante, Brand Presidents) is the right engagement target — amplifying parent-franchisor franchise-development thought leadership warms the brand-corp path. If Z Plumberz brand president has active LinkedIn presence, this becomes higher-fit. Validate during initial intel work.</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Z PLUMBERZ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$8K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Route efficiency · job density · billing capture (plumbing dispatch-heavy)</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(Z Plumberz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$4M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~500 techs × $8K (CRM-derived tech count)</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$240K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BELFOR Franchise Group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$15K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50 techs × $300/tech/yr SB pricing — first-year achievable at 10% penetration</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sister-brand DUCTZ + HOODZ playbook reduces ramp risk</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brand-mandated FSM removes the franchisee burden of platform selection — reduces churn driven by operational frustration. Plumbing franchisees are most frustrated by billing capture and dispatch chaos — both are SB native strengths.</w:t>
      </w:r>
    </w:p>
    <w:p>
      <w:pPr>
        <w:pStyle w:val="ListParagraph"/>
        <w:numPr>
          <w:ilvl w:val="0"/>
          <w:numId w:val="2"/>
        </w:numPr>
        <w:spacing w:after="80"/>
      </w:pPr>
      <w:r>
        <w:rPr>
          <w:color w:val="3A4A5C"/>
          <w:sz w:val="19"/>
          <w:szCs w:val="19"/>
        </w:rPr>
        <w:t xml:space="preserve">Franchisee recruitment: prospective Z Plumberz franchisees increasingly evaluate brand-provided technology stack as part of their decision. ServiceBridge as part of the brand promise lifts recruitment yield — particularly important for younger brands like Z Plumberz building network density.</w:t>
      </w:r>
    </w:p>
    <w:p>
      <w:pPr>
        <w:pStyle w:val="ListParagraph"/>
        <w:numPr>
          <w:ilvl w:val="0"/>
          <w:numId w:val="2"/>
        </w:numPr>
        <w:spacing w:after="80"/>
      </w:pPr>
      <w:r>
        <w:rPr>
          <w:color w:val="3A4A5C"/>
          <w:sz w:val="19"/>
          <w:szCs w:val="19"/>
        </w:rPr>
        <w:t xml:space="preserve">Reporting visibility: brand corp gains franchisee operations data currently invisible — jobs completed, revenue per truck, billing capture rates, route density. Critical for a growth-stage brand making territory decisions.</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compound at the parent franchisor level. When all BFG brands adopt brand-mandated FSM, the parent network gains standardized operations data that drives portfolio-level value creation initiatives ahead of any exit window. Z Plumberz brand-led adoption + HOODZ + DUCTZ already at 94% = a meaningful BFG portfolio story for American Securities pre-exit. This bridge is for our internal narrative — it does not need to be foregrounded in brand-corp conversations. Brand-corp audience cares about brand outcomes; parent narrative is a backstop.</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Z Plumberz FSM posture: GREENFIELD</w:t>
            </w:r>
          </w:p>
          <w:p>
            <w:pPr>
              <w:spacing w:after="100"/>
            </w:pPr>
            <w:r>
              <w:rPr>
                <w:color w:val="3A4A5C"/>
                <w:sz w:val="19"/>
                <w:szCs w:val="19"/>
              </w:rPr>
              <w:t xml:space="preserve">Z Plumberz operates in GREENFIELD posture — no brand-corp FSM mandate, no preferred vendor, no incumbent platform with mature franchisee adoption. Franchisees making ad-hoc choices: likely a mix of pen/paper, QuickBooks-only, Housecall Pro for newer operators, and possibly some early SB adoption mirroring sister brands HOODZ/DUCTZ.</w:t>
            </w:r>
          </w:p>
          <w:p>
            <w:pPr>
              <w:spacing w:after="100"/>
            </w:pPr>
            <w:r>
              <w:rPr>
                <w:color w:val="3A4A5C"/>
                <w:sz w:val="19"/>
                <w:szCs w:val="19"/>
              </w:rPr>
              <w:t xml:space="preserve">Generalized framework: brand corps split into four FSM postures — (1) MANDATED (incumbent FSM by brand-corp decision; displacement target), (2) PREFERRED (corp-recommended but not enforced; conversion target), (3) MIXED (franchisee-by-franchisee choice; either greenfield or fragmented displacement), (4) GREENFIELD (no FSM mandate or recommendation; highest-velocity priority). Z Plumberz = GREENFIELD.</w:t>
            </w:r>
          </w:p>
          <w:p>
            <w:pPr>
              <w:spacing w:after="100"/>
            </w:pPr>
            <w:r>
              <w:rPr>
                <w:color w:val="3A4A5C"/>
                <w:sz w:val="19"/>
                <w:szCs w:val="19"/>
              </w:rPr>
              <w:t xml:space="preserve">Competitive risk for Z Plumberz is non-engagement, not displacement. The risk is a competitor (ServiceTitan, Housecall Pro Pro) reaching brand-corp before us and locking in a partnership before we move. ServiceTitan already mandated at Mr. Rooter (Neighborly) — they will pursue Z Plumberz next as plumbing vertical expansion. Window matters.</w:t>
            </w:r>
          </w:p>
          <w:p>
            <w:pPr>
              <w:spacing w:after="100"/>
            </w:pPr>
            <w:r>
              <w:rPr>
                <w:color w:val="3A4A5C"/>
                <w:sz w:val="19"/>
                <w:szCs w:val="19"/>
              </w:rPr>
              <w:t xml:space="preserve">Adjacent BFG brands DUCTZ + HOODZ pattern provides credibility and reduces ZPB brand-corp implementation risk. Lead any conversation with sister-brand context.</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Z Plumberz</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Z Plumberz dimension scores: Greenfield 95/100, Network 60/100, PE 75/100, DM Access 80/100, Urgency 80/100, Displacement 50/100, C/B Mix 75/100.</w:t>
            </w:r>
          </w:p>
          <w:p>
            <w:pPr>
              <w:spacing w:after="100"/>
            </w:pPr>
            <w:r>
              <w:rPr>
                <w:color w:val="3A4A5C"/>
                <w:sz w:val="19"/>
                <w:szCs w:val="19"/>
              </w:rPr>
              <w:t xml:space="preserve">Weighted base score: (95×0.30) + (60×0.15) + (75×0.10) + (80×0.15) + (80×0.15) + (50×0.05) + (75×0.10) = 79 base. Plus parent inheritance bonus +25 (P2 · #1 DE-FACTO ANCHOR) + modifier +9 = 113 total.</w:t>
            </w:r>
          </w:p>
          <w:p>
            <w:pPr>
              <w:spacing w:after="100"/>
            </w:pPr>
            <w:r>
              <w:rPr>
                <w:color w:val="3A4A5C"/>
                <w:sz w:val="19"/>
                <w:szCs w:val="19"/>
              </w:rPr>
              <w:t xml:space="preserve">Score 113 = T1 LEAD PILOT — DEEP ENGAGE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Z Plumberz readiness package —</w:t>
      </w:r>
    </w:p>
    <w:p>
      <w:pPr>
        <w:spacing w:after="60" w:before="60"/>
      </w:pPr>
      <w:r>
        <w:t xml:space="preserve"/>
      </w:r>
    </w:p>
    <w:p>
      <w:pPr>
        <w:jc w:val="center"/>
      </w:pPr>
      <w:r>
        <w:rPr>
          <w:i/>
          <w:iCs/>
          <w:color w:val="6B7A8B"/>
          <w:sz w:val="15"/>
          <w:szCs w:val="15"/>
        </w:rPr>
        <w:t xml:space="preserve">Velocity GTM Co LLC  ·  Stage 2 Brand-Corp Readiness  ·  Z Plumberz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NORTHSTAR REFERENCE  ·  Z PLUMBERZ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 Plumberz Stage 2 Brand-Corp Readiness Package — CRM v15.6</dc:title>
  <dc:creator>Michael Montgomery Flynt Jr</dc:creator>
  <cp:lastModifiedBy>Un-named</cp:lastModifiedBy>
  <cp:revision>1</cp:revision>
  <dcterms:created xsi:type="dcterms:W3CDTF">2026-04-30T23:50:06.266Z</dcterms:created>
  <dcterms:modified xsi:type="dcterms:W3CDTF">2026-04-30T23:50:06.267Z</dcterms:modified>
</cp:coreProperties>
</file>

<file path=docProps/custom.xml><?xml version="1.0" encoding="utf-8"?>
<Properties xmlns="http://schemas.openxmlformats.org/officeDocument/2006/custom-properties" xmlns:vt="http://schemas.openxmlformats.org/officeDocument/2006/docPropsVTypes"/>
</file>