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/>
        <w:t>Velocity GTM Co LLC · Meeting Prep Intake Form v2 · Submit completed form to generate tailored 1–2 page narrative</w:t>
      </w:r>
    </w:p>
    <w:p>
      <w:pPr>
        <w:pStyle w:val="Heading1"/>
        <w:rPr/>
      </w:pPr>
      <w:bookmarkStart w:id="0" w:name="meeting-prep-intake-form"/>
      <w:r>
        <w:rPr>
          <w:b/>
          <w:bCs/>
        </w:rPr>
        <w:t>Meeting Prep Intake Form</w:t>
      </w:r>
    </w:p>
    <w:p>
      <w:pPr>
        <w:pStyle w:val="FirstParagraph"/>
        <w:rPr/>
      </w:pPr>
      <w:r>
        <w:rPr>
          <w:i/>
          <w:iCs/>
        </w:rPr>
        <w:t>Goal: Earn the second meeting because the math + path is worthy of follow-up.</w:t>
      </w:r>
    </w:p>
    <w:p>
      <w:pPr>
        <w:pStyle w:val="BodyText"/>
        <w:rPr/>
      </w:pPr>
      <w:r>
        <w:rPr>
          <w:b/>
          <w:bCs/>
        </w:rPr>
        <w:t>How to use:</w:t>
      </w:r>
      <w:r>
        <w:rPr/>
        <w:t xml:space="preserve"> </w:t>
      </w:r>
      <w:r>
        <w:rPr>
          <w:i/>
          <w:iCs/>
        </w:rPr>
        <w:t>Fill out the fields below before any first PE or Franchisor meeting. For checkboxes, click between the brackets and type X — like [X]. For text fields, click in the yellow cell and start typing. Submit the completed form for a tailored 1–2 page narrative calibrated to a 15–30 minute first call.</w:t>
      </w:r>
    </w:p>
    <w:p>
      <w:pPr>
        <w:pStyle w:val="BodyText"/>
        <w:rPr/>
      </w:pPr>
      <w:r>
        <w:rPr>
          <w:b/>
          <w:bCs/>
        </w:rPr>
        <w:t>v2 update:</w:t>
      </w:r>
      <w:r>
        <w:rPr/>
        <w:t xml:space="preserve"> Added Personal Bridge field in Section 2 — forces the discipline of identifying authentic personal-level common ground before every meeting.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meeting-basics-who-what-when"/>
      <w:r>
        <w:rPr>
          <w:b/>
          <w:bCs/>
        </w:rPr>
        <w:t>1. MEETING BASICS · Who, what, when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Meeting type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Drives whole branch logic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 ] PE (investor side) [ ] Franchisor (operator side)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Person’s name + role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First name + title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e.g. Eric Roth, Managing Director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Firm or company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PE firm OR franchisor co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e.g. MidOcean Partners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Meeting length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Drives depth + section weight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 ] 15 min [ ] 30 min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Warm path source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How this meeting happened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e.g. Charles Layne intro via Lexington · LinkedIn cold · mutual contact · referral from X</w:t>
            </w:r>
          </w:p>
        </w:tc>
      </w:tr>
    </w:tbl>
    <w:p>
      <w:pPr>
        <w:pStyle w:val="Normal"/>
        <w:rPr/>
      </w:pPr>
      <w:bookmarkStart w:id="2" w:name="meeting-basics-who-what-whe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personalization-their-world-their-words"/>
      <w:r>
        <w:rPr>
          <w:b/>
          <w:bCs/>
        </w:rPr>
        <w:t>2. PERSONALIZATION · Their world, their words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Recent news / signal to acknowledge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The compliment opener. Be specific.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Press release headline, podcast quote, conference comment, LinkedIn post — anything they said or that happened to them in the last 30–90 days that you can credibly reference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Source of the signal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Helps cite credibly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e.g. Franchise Times Apr 2026 · their LinkedIn post Mar 2026 · PE Insider podcast Feb 2026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CRM Signal Intel + Account Feedback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Master CRM as source of truth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Paste anything from Master CRM v15.36 Signal Intel tab or Account Feedback for this account — leadership transitions, vendor moves, recent decisions, account temperature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Their personal background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Background for personalization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Alma mater, prior roles, mutual connections, LinkedIn URL, anything notable — lets the narrative weave peer-to-peer personalization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⭐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PERSONAL BRIDGE · NEW IN v2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Authentic personal-level common ground — the human connector before the business case.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What’s the real overlap between my life and theirs? Examples: military family upbringing (when speaking with veterans or military families) · geographic crossover (Mid-Atlantic / Richmond cluster) · franchisee-to-franchisor career arc · NC State / NC roots · IBM federal/Army business background · climbed-through-sales path · entrepreneur posture · sports tribe (Hurricanes, NASCAR, PGA, NBA) · dog person (Jagger) · son in service · etc.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Discipline rule: only use what’s authentically shared. If there’s no genuine crossover, leave this field blank rather than forcing it. A forced personal angle reads worse than skipping one altogether. The goal is “I see you as a person, not a target” — not “I have a personal anecdote I want to share.”</w:t>
            </w:r>
          </w:p>
        </w:tc>
      </w:tr>
    </w:tbl>
    <w:p>
      <w:pPr>
        <w:pStyle w:val="Normal"/>
        <w:rPr/>
      </w:pPr>
      <w:bookmarkStart w:id="4" w:name="personalization-their-world-their-word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the-play-what-were-walking-in-with"/>
      <w:r>
        <w:rPr>
          <w:b/>
          <w:bCs/>
        </w:rPr>
        <w:t>3. THE PLAY · What we’re walking in with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The whale (if franchisor)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Drives the math + brand examples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 ] Empower [ ] ResiBrands [ ] Five Star [ ] Other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Specific context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Their situation today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PE held since when? Exit window opening? Recent CEO/CFO change? Current FSM situation? What’s driving them right now?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What you want from them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The Ask drives the close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What does success look like at the end of this call? e.g. Intro to brand president · 30-min team meeting · PitchBook ask · connect to CFO · pilot conversation · follow-up call in 2 weeks</w:t>
            </w:r>
          </w:p>
        </w:tc>
      </w:tr>
    </w:tbl>
    <w:p>
      <w:pPr>
        <w:pStyle w:val="Normal"/>
        <w:rPr/>
      </w:pPr>
      <w:bookmarkStart w:id="6" w:name="the-play-what-were-walking-in-with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tone-guardrails-avoid-landmines"/>
      <w:r>
        <w:rPr>
          <w:b/>
          <w:bCs/>
        </w:rPr>
        <w:t>4. TONE &amp; GUARDRAILS · Avoid landmines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Things to avoid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Guardrails for the narrative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Sensitive topics, recent bad press, internal politics, competitive dynamics, anything you DON’T want surfaced in the narrative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Open scratchpad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Free dump zone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Anything else worth knowing — call this morning Charles told me… · Andrea mentioned at lunch that… · saw a tweet that… · unstructured intel often carries highest signal</w:t>
            </w:r>
          </w:p>
        </w:tc>
      </w:tr>
    </w:tbl>
    <w:p>
      <w:pPr>
        <w:pStyle w:val="Normal"/>
        <w:rPr/>
      </w:pPr>
      <w:bookmarkStart w:id="8" w:name="tone-guardrails-avoid-landmin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what-youll-get-back"/>
      <w:r>
        <w:rPr>
          <w:b/>
          <w:bCs/>
        </w:rPr>
        <w:t>WHAT YOU’LL GET BACK</w:t>
      </w:r>
    </w:p>
    <w:p>
      <w:pPr>
        <w:pStyle w:val="FirstParagraph"/>
        <w:rPr/>
      </w:pPr>
      <w:r>
        <w:rPr>
          <w:b/>
          <w:bCs/>
        </w:rPr>
        <w:t>1–2 page narrative tailored for a 15–30 minute first meeting: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Opener (60 sec) — compliment + warm path + </w:t>
      </w:r>
      <w:r>
        <w:rPr>
          <w:b/>
          <w:bCs/>
        </w:rPr>
        <w:t>personal-bridge moment (if authentic)</w:t>
      </w:r>
      <w:r>
        <w:rPr/>
        <w:t xml:space="preserve"> + why I’m reaching out</w:t>
      </w:r>
    </w:p>
    <w:p>
      <w:pPr>
        <w:pStyle w:val="Compact"/>
        <w:numPr>
          <w:ilvl w:val="0"/>
          <w:numId w:val="1"/>
        </w:numPr>
        <w:rPr/>
      </w:pPr>
      <w:r>
        <w:rPr/>
        <w:t>Who I am (45 sec) — Velocity + ServiceBridge + IBM credibility marker</w:t>
      </w:r>
    </w:p>
    <w:p>
      <w:pPr>
        <w:pStyle w:val="Compact"/>
        <w:numPr>
          <w:ilvl w:val="0"/>
          <w:numId w:val="1"/>
        </w:numPr>
        <w:rPr/>
      </w:pPr>
      <w:r>
        <w:rPr/>
        <w:t>The frame (3 min) — origin story, timing, their specific situation</w:t>
      </w:r>
    </w:p>
    <w:p>
      <w:pPr>
        <w:pStyle w:val="Compact"/>
        <w:numPr>
          <w:ilvl w:val="0"/>
          <w:numId w:val="1"/>
        </w:numPr>
        <w:rPr/>
      </w:pPr>
      <w:r>
        <w:rPr/>
        <w:t>The math (5 min) — exit math (PE) or franchisee profit + EBITDA acceleration (franchisor)</w:t>
      </w:r>
    </w:p>
    <w:p>
      <w:pPr>
        <w:pStyle w:val="Compact"/>
        <w:numPr>
          <w:ilvl w:val="0"/>
          <w:numId w:val="1"/>
        </w:numPr>
        <w:rPr/>
      </w:pPr>
      <w:r>
        <w:rPr/>
        <w:t>QuickBooks + GPO/buying catalog tie-in (franchisor only)</w:t>
      </w:r>
    </w:p>
    <w:p>
      <w:pPr>
        <w:pStyle w:val="Compact"/>
        <w:numPr>
          <w:ilvl w:val="0"/>
          <w:numId w:val="1"/>
        </w:numPr>
        <w:rPr/>
      </w:pPr>
      <w:r>
        <w:rPr/>
        <w:t>Franchisor-invests-to-accelerate-adoption path (franchisor only)</w:t>
      </w:r>
    </w:p>
    <w:p>
      <w:pPr>
        <w:pStyle w:val="Compact"/>
        <w:numPr>
          <w:ilvl w:val="0"/>
          <w:numId w:val="1"/>
        </w:numPr>
        <w:rPr/>
      </w:pPr>
      <w:r>
        <w:rPr/>
        <w:t>The wedge (3 min) — specific brand or path forward</w:t>
      </w:r>
    </w:p>
    <w:p>
      <w:pPr>
        <w:pStyle w:val="Compact"/>
        <w:numPr>
          <w:ilvl w:val="0"/>
          <w:numId w:val="1"/>
        </w:numPr>
        <w:rPr/>
      </w:pPr>
      <w:r>
        <w:rPr/>
        <w:t>The ask (60 sec) — what we want to happen next</w:t>
      </w:r>
    </w:p>
    <w:p>
      <w:pPr>
        <w:pStyle w:val="Compact"/>
        <w:numPr>
          <w:ilvl w:val="0"/>
          <w:numId w:val="1"/>
        </w:numPr>
        <w:rPr/>
      </w:pPr>
      <w:r>
        <w:rPr/>
        <w:t>Page 2 (optional) — anticipated questions + your answers</w:t>
      </w:r>
    </w:p>
    <w:p>
      <w:pPr>
        <w:pStyle w:val="Normal"/>
        <w:rPr/>
      </w:pPr>
      <w:bookmarkStart w:id="10" w:name="what-youll-get-ba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personal-bridge-guidance-on-what-works"/>
      <w:r>
        <w:rPr>
          <w:b/>
          <w:bCs/>
        </w:rPr>
        <w:t>PERSONAL BRIDGE — guidance on what works</w:t>
      </w:r>
    </w:p>
    <w:p>
      <w:pPr>
        <w:pStyle w:val="FirstParagraph"/>
        <w:rPr/>
      </w:pPr>
      <w:r>
        <w:rPr/>
        <w:t>The Personal Bridge field exists because the first 30 seconds of a meeting set the tone for the rest of it. PE Managing Directors and franchisor CEOs take 50 first meetings a year. Most of them open the same way — “thanks for the time, here’s our company, here’s the deck.” The Personal Bridge is what changes the first 30 seconds from transactional to human.</w:t>
      </w:r>
    </w:p>
    <w:p>
      <w:pPr>
        <w:pStyle w:val="BodyText"/>
        <w:rPr/>
      </w:pPr>
      <w:r>
        <w:rPr>
          <w:b/>
          <w:bCs/>
        </w:rPr>
        <w:t>What works as a Personal Bridge: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Example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Why it works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Service / military respect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Grew up in a military family · IBM Department of the Army Business Unit Executive · understands the world they came from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Peer-to-peer respect, no agenda. Works with anyone with military background or family in service.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Geographic crossover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Mid-Atlantic roots · Richmond / Raleigh corridor · NC State background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Establishes you’re in their world physically and culturally, not a stranger flying in to pitch.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Career-arc parallel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Climbed through sales · founder narrative · franchisee-to-franchisor empathy · B2B sales operator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Validates you understand their professional journey, not just their job title.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Sports / industry tribe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Carolina Hurricanes · NASCAR · PGA Tour follower · IFA Foundation circle awareness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Signals you live in the same media diet they do.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Family / life context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Son in Army basic training · black lab Jagger · parent of an athlete · raising kids in the South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Most powerful when AUTHENTIC and when the other person shares it — never force this.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Cultural reference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Recognized a quote on their LinkedIn · noticed a Sagan reference · caught a book recommendation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Shows you actually read their profile and engaged with what they put out into the world.</w:t>
            </w:r>
          </w:p>
        </w:tc>
      </w:tr>
    </w:tbl>
    <w:p>
      <w:pPr>
        <w:pStyle w:val="BodyText"/>
        <w:rPr/>
      </w:pPr>
      <w:r>
        <w:rPr>
          <w:b/>
          <w:bCs/>
        </w:rPr>
        <w:t>What DOESN’T work as a Personal Bridge:</w:t>
      </w:r>
    </w:p>
    <w:p>
      <w:pPr>
        <w:pStyle w:val="Compact"/>
        <w:numPr>
          <w:ilvl w:val="0"/>
          <w:numId w:val="4"/>
        </w:numPr>
        <w:rPr/>
      </w:pPr>
      <w:r>
        <w:rPr/>
        <w:t>Forced commonality (“I see we both went to college!” — too generic)</w:t>
      </w:r>
    </w:p>
    <w:p>
      <w:pPr>
        <w:pStyle w:val="Compact"/>
        <w:numPr>
          <w:ilvl w:val="0"/>
          <w:numId w:val="5"/>
        </w:numPr>
        <w:rPr/>
      </w:pPr>
      <w:r>
        <w:rPr/>
        <w:t>One-way information dumps (“Let me tell you about myself…” — overshares before earning the right)</w:t>
      </w:r>
    </w:p>
    <w:p>
      <w:pPr>
        <w:pStyle w:val="Compact"/>
        <w:numPr>
          <w:ilvl w:val="0"/>
          <w:numId w:val="6"/>
        </w:numPr>
        <w:rPr/>
      </w:pPr>
      <w:r>
        <w:rPr/>
        <w:t>Politically charged references — even shared ones (creates risk for no upside)</w:t>
      </w:r>
    </w:p>
    <w:p>
      <w:pPr>
        <w:pStyle w:val="Compact"/>
        <w:numPr>
          <w:ilvl w:val="0"/>
          <w:numId w:val="7"/>
        </w:numPr>
        <w:rPr/>
      </w:pPr>
      <w:r>
        <w:rPr/>
        <w:t>Anything that requires them to react with sympathy or to validate you (“My dad died in service” — uses them emotionally instead of connecting authentically)</w:t>
      </w:r>
    </w:p>
    <w:p>
      <w:pPr>
        <w:pStyle w:val="Compact"/>
        <w:numPr>
          <w:ilvl w:val="0"/>
          <w:numId w:val="8"/>
        </w:numPr>
        <w:rPr/>
      </w:pPr>
      <w:r>
        <w:rPr/>
        <w:t>Recently public personal struggles of theirs (divorce, layoff, health issues) — even if you’ve read about them, they didn’t share with you</w:t>
      </w:r>
    </w:p>
    <w:p>
      <w:pPr>
        <w:pStyle w:val="FirstParagraph"/>
        <w:rPr/>
      </w:pPr>
      <w:r>
        <w:rPr>
          <w:b/>
          <w:bCs/>
        </w:rPr>
        <w:t>The 5-second test:</w:t>
      </w:r>
      <w:r>
        <w:rPr/>
        <w:t xml:space="preserve"> Before adding a personal bridge to the opener, ask: </w:t>
      </w:r>
      <w:r>
        <w:rPr>
          <w:i/>
          <w:iCs/>
        </w:rPr>
        <w:t>“If they Googled me right now, would they roll their eyes at this connection, or would they recognize it as real?”</w:t>
      </w:r>
    </w:p>
    <w:p>
      <w:pPr>
        <w:pStyle w:val="BodyText"/>
        <w:rPr/>
      </w:pPr>
      <w:r>
        <w:rPr>
          <w:b/>
          <w:bCs/>
        </w:rPr>
        <w:t>The deliberate-omission rule:</w:t>
      </w:r>
      <w:r>
        <w:rPr/>
        <w:t xml:space="preserve"> Sometimes the right Personal Bridge field is BLANK. If there’s no authentic crossover, skip it — the opener defaults to the public-signal compliment, which is still strong. A forced personal moment is worse than no personal moment.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bookmarkStart w:id="12" w:name="meeting-prep-intake-form"/>
      <w:bookmarkStart w:id="13" w:name="personal-bridge-guidance-on-what-works"/>
      <w:r>
        <w:rPr>
          <w:i/>
          <w:iCs/>
        </w:rPr>
        <w:t>Velocity GTM Co LLC · Meeting Prep Intake Form v2 · Updated May 11, 2026</w:t>
      </w:r>
      <w:bookmarkEnd w:id="12"/>
      <w:bookmarkEnd w:id="1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nsolas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2026-05-11T20:09:15Z</dcterms:created>
  <dc:creator/>
  <dc:description/>
  <dc:language>en-US</dc:language>
  <cp:lastModifiedBy/>
  <dcterms:modified xsi:type="dcterms:W3CDTF">2026-05-11T20:09:15Z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