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bookmarkStart w:id="0" w:name="X9ccae021751403f67d8a82dfdd01a11c11e2afc"/>
      <w:r>
        <w:rPr/>
        <w:t>Industry Quote Library — Whale Hunt Edition</w:t>
      </w:r>
    </w:p>
    <w:p>
      <w:pPr>
        <w:pStyle w:val="FirstParagraph"/>
        <w:rPr/>
      </w:pPr>
      <w:r>
        <w:rPr>
          <w:b/>
          <w:bCs/>
        </w:rPr>
        <w:t>Built for:</w:t>
      </w:r>
      <w:r>
        <w:rPr/>
        <w:t xml:space="preserve"> Building the case that wins PE warm intros — Eric Roth (MidOcean), Joseph Trahan (Princeton), and the broader Wave 1 conversations </w:t>
      </w:r>
      <w:r>
        <w:rPr>
          <w:b/>
          <w:bCs/>
        </w:rPr>
        <w:t>Date:</w:t>
      </w:r>
      <w:r>
        <w:rPr/>
        <w:t xml:space="preserve"> May 11, 2026 </w:t>
      </w:r>
      <w:r>
        <w:rPr>
          <w:b/>
          <w:bCs/>
        </w:rPr>
        <w:t>Use:</w:t>
      </w:r>
      <w:r>
        <w:rPr/>
        <w:t xml:space="preserve"> Cite authoritatively in PE letters, intro emails, LinkedIn DMs, and franchisor follow-ups. Every quote sourced.</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1" w:name="how-this-library-is-organized"/>
      <w:r>
        <w:rPr>
          <w:b/>
          <w:bCs/>
        </w:rPr>
        <w:t>How this library is organized</w:t>
      </w:r>
    </w:p>
    <w:p>
      <w:pPr>
        <w:pStyle w:val="FirstParagraph"/>
        <w:rPr/>
      </w:pPr>
      <w:r>
        <w:rPr/>
        <w:t xml:space="preserve">Quotes serve a specific purpose in PE-warm-intro conversations: </w:t>
      </w:r>
      <w:r>
        <w:rPr>
          <w:b/>
          <w:bCs/>
        </w:rPr>
        <w:t>make the PE see the value, while showing them the franchisor sees it too.</w:t>
      </w:r>
      <w:r>
        <w:rPr/>
        <w:t xml:space="preserve"> The PE will only introduce us if confident on both sides. So quotes are tiered:</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Tier</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Audience</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Job it does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PE-thesis quotes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Eric Roth · Joseph Trahan · MidOcean / Princeton operating partners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Validate that platform consolidation + unit-level economics is the PE playbook · ServiceBridge accelerates it</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PE-comp quotes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Same audience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Show market timing — what other PE-backed home services deals are pricing at (the multiple expansion math is real)</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Franchisor-pain quotes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What we say to Eric/Joseph </w:t>
            </w:r>
            <w:r>
              <w:rPr>
                <w:rFonts w:eastAsia="Cambria" w:cs=""/>
                <w:b/>
                <w:bCs/>
                <w:kern w:val="0"/>
                <w:sz w:val="24"/>
                <w:szCs w:val="24"/>
                <w:lang w:val="en-US" w:eastAsia="en-US" w:bidi="ar-SA"/>
              </w:rPr>
              <w:t>about</w:t>
            </w:r>
            <w:r>
              <w:rPr>
                <w:rFonts w:eastAsia="Cambria" w:cs=""/>
                <w:kern w:val="0"/>
                <w:sz w:val="24"/>
                <w:szCs w:val="24"/>
                <w:lang w:val="en-US" w:eastAsia="en-US" w:bidi="ar-SA"/>
              </w:rPr>
              <w:t xml:space="preserve"> Zide/Abbott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Show we understand the operator pain — FSM fragmentation, technology adoption, unit-level visibility</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Franchisor-voice quotes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Used as bridges between PE and franchisor conversations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Franchisor CEOs in their own words on what they need — confirms PE thesis from the operator’s mouth</w:t>
            </w:r>
          </w:p>
        </w:tc>
      </w:tr>
    </w:tbl>
    <w:p>
      <w:pPr>
        <w:pStyle w:val="Normal"/>
        <w:rPr/>
      </w:pPr>
      <w:bookmarkStart w:id="2" w:name="X9ccae021751403f67d8a82dfdd01a11c11e2afc"/>
      <w:bookmarkStart w:id="3" w:name="how-this-library-is-organized"/>
      <w:r>
        <w:rPr/>
        <mc:AlternateContent>
          <mc:Choice Requires="wps">
            <w:drawing>
              <wp:inline distT="0" distB="0" distL="0" distR="0">
                <wp:extent cx="635"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
      <w:bookmarkEnd w:id="3"/>
    </w:p>
    <w:p>
      <w:pPr>
        <w:pStyle w:val="Heading1"/>
        <w:rPr/>
      </w:pPr>
      <w:bookmarkStart w:id="4" w:name="tier-1-pe-thesis-quotes"/>
      <w:r>
        <w:rPr>
          <w:b/>
          <w:bCs/>
        </w:rPr>
        <w:t>Tier 1 — PE-thesis quotes</w:t>
      </w:r>
    </w:p>
    <w:p>
      <w:pPr>
        <w:pStyle w:val="FirstParagraph"/>
        <w:rPr/>
      </w:pPr>
      <w:r>
        <w:rPr/>
        <w:t>Quotes from PE operators and franchise-investing strategists that establish the consolidation / unit-economics / platform thesis. Use these to anchor letters to Eric Roth, Joseph Trahan, and any MidOcean/Princeton/Sanchez-network conversation.</w:t>
      </w:r>
    </w:p>
    <w:p>
      <w:pPr>
        <w:pStyle w:val="Heading3"/>
        <w:rPr/>
      </w:pPr>
      <w:bookmarkStart w:id="5" w:name="unit-economics-as-the-pe-playbook"/>
      <w:r>
        <w:rPr>
          <w:b/>
          <w:bCs/>
        </w:rPr>
        <w:t>1.1 · Unit economics as the PE playbook</w:t>
      </w:r>
    </w:p>
    <w:p>
      <w:pPr>
        <w:pStyle w:val="BlockText"/>
        <w:rPr/>
      </w:pPr>
      <w:r>
        <w:rPr/>
        <w:t>“</w:t>
      </w:r>
      <w:r>
        <w:rPr/>
        <w:t xml:space="preserve">Strong unit-level economics, operating margins ideally 15–20% or higher.” — </w:t>
      </w:r>
      <w:r>
        <w:rPr>
          <w:b/>
          <w:bCs/>
        </w:rPr>
        <w:t>Global Franchise</w:t>
      </w:r>
      <w:r>
        <w:rPr/>
        <w:t xml:space="preserve"> · “How private equity operates in the franchising sector” · Aug 2024</w:t>
      </w:r>
    </w:p>
    <w:p>
      <w:pPr>
        <w:pStyle w:val="FirstParagraph"/>
        <w:rPr/>
      </w:pPr>
      <w:r>
        <w:rPr>
          <w:b/>
          <w:bCs/>
        </w:rPr>
        <w:t>Use:</w:t>
      </w:r>
      <w:r>
        <w:rPr/>
        <w:t xml:space="preserve"> Opening anchor in any PE letter. Establishes shared vocabulary on what matters.</w:t>
      </w:r>
    </w:p>
    <w:p>
      <w:pPr>
        <w:pStyle w:val="Normal"/>
        <w:rPr/>
      </w:pPr>
      <w:bookmarkStart w:id="6" w:name="unit-economics-as-the-pe-playbook"/>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
    </w:p>
    <w:p>
      <w:pPr>
        <w:pStyle w:val="Heading3"/>
        <w:rPr/>
      </w:pPr>
      <w:bookmarkStart w:id="7" w:name="the-platform-thesis-spelled-out"/>
      <w:r>
        <w:rPr>
          <w:b/>
          <w:bCs/>
        </w:rPr>
        <w:t>1.2 · The platform thesis spelled out</w:t>
      </w:r>
    </w:p>
    <w:p>
      <w:pPr>
        <w:pStyle w:val="BlockText"/>
        <w:rPr/>
      </w:pPr>
      <w:r>
        <w:rPr/>
        <w:t>“</w:t>
      </w:r>
      <w:r>
        <w:rPr/>
        <w:t xml:space="preserve">Private equity firms also love a buy-and-build approach known as ‘platforming.’ This strategy involves starting with a strong leadership team and flagship brand and then acquiring complementary businesses, known as tuck-in acquisitions… A prime illustration of this success is Neighborly, which has expanded to include over 30 brands under its platform. Throughout this journey, there have been multiple PE ownership changes, but sponsors kept the management team focused and maintained… profitability at the unit level.” — </w:t>
      </w:r>
      <w:r>
        <w:rPr>
          <w:b/>
          <w:bCs/>
        </w:rPr>
        <w:t>Global Franchise</w:t>
      </w:r>
      <w:r>
        <w:rPr/>
        <w:t xml:space="preserve"> · Aug 2024</w:t>
      </w:r>
    </w:p>
    <w:p>
      <w:pPr>
        <w:pStyle w:val="FirstParagraph"/>
        <w:rPr/>
      </w:pPr>
      <w:r>
        <w:rPr>
          <w:b/>
          <w:bCs/>
        </w:rPr>
        <w:t>Use:</w:t>
      </w:r>
      <w:r>
        <w:rPr/>
        <w:t xml:space="preserve"> Naming Neighborly here is intentional — Empower (MidOcean) and Five Star (Princeton) are running the same playbook one cycle behind. Frame ServiceBridge as the platform-level investment that accelerates the cycle.</w:t>
      </w:r>
    </w:p>
    <w:p>
      <w:pPr>
        <w:pStyle w:val="Normal"/>
        <w:rPr/>
      </w:pPr>
      <w:bookmarkStart w:id="8" w:name="the-platform-thesis-spelled-out"/>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
    </w:p>
    <w:p>
      <w:pPr>
        <w:pStyle w:val="Heading3"/>
        <w:rPr/>
      </w:pPr>
      <w:bookmarkStart w:id="9" w:name="why-pe-keeps-coming-back-to-franchising"/>
      <w:r>
        <w:rPr>
          <w:b/>
          <w:bCs/>
        </w:rPr>
        <w:t>1.3 · Why PE keeps coming back to franchising</w:t>
      </w:r>
    </w:p>
    <w:p>
      <w:pPr>
        <w:pStyle w:val="BlockText"/>
        <w:rPr/>
      </w:pPr>
      <w:r>
        <w:rPr/>
        <w:t>“</w:t>
      </w:r>
      <w:r>
        <w:rPr/>
        <w:t xml:space="preserve">Asset-light economics, diversified unit-level risk, recurring royalty streams, and scalable infrastructure create an attractive foundation for both growth and margin resilience.” — </w:t>
      </w:r>
      <w:r>
        <w:rPr>
          <w:b/>
          <w:bCs/>
        </w:rPr>
        <w:t>Wray Executive Search</w:t>
      </w:r>
      <w:r>
        <w:rPr/>
        <w:t xml:space="preserve"> · “The Restaurant Franchise Landscape in 2026: A Compelling Growth Platform for Private Equity and M&amp;A” · Feb 2026</w:t>
      </w:r>
    </w:p>
    <w:p>
      <w:pPr>
        <w:pStyle w:val="FirstParagraph"/>
        <w:rPr/>
      </w:pPr>
      <w:r>
        <w:rPr>
          <w:b/>
          <w:bCs/>
        </w:rPr>
        <w:t>Use:</w:t>
      </w:r>
      <w:r>
        <w:rPr/>
        <w:t xml:space="preserve"> For Eric Roth specifically — restate MidOcean’s own thesis back to him in his industry’s voice.</w:t>
      </w:r>
    </w:p>
    <w:p>
      <w:pPr>
        <w:pStyle w:val="Normal"/>
        <w:rPr/>
      </w:pPr>
      <w:bookmarkStart w:id="10" w:name="why-pe-keeps-coming-back-to-franchising"/>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
    </w:p>
    <w:p>
      <w:pPr>
        <w:pStyle w:val="Heading3"/>
        <w:rPr/>
      </w:pPr>
      <w:bookmarkStart w:id="11" w:name="the-franchise-pe-alignment-in-one-line"/>
      <w:r>
        <w:rPr>
          <w:b/>
          <w:bCs/>
        </w:rPr>
        <w:t>1.4 · The franchise-PE alignment in one line</w:t>
      </w:r>
    </w:p>
    <w:p>
      <w:pPr>
        <w:pStyle w:val="BlockText"/>
        <w:rPr/>
      </w:pPr>
      <w:r>
        <w:rPr/>
        <w:t>“</w:t>
      </w:r>
      <w:r>
        <w:rPr/>
        <w:t xml:space="preserve">PE firms are often drawn to franchise businesses because they combine predictable cash flow with repeatable unit-level economics.” — </w:t>
      </w:r>
      <w:r>
        <w:rPr>
          <w:b/>
          <w:bCs/>
        </w:rPr>
        <w:t>Apple Pie Capital</w:t>
      </w:r>
      <w:r>
        <w:rPr/>
        <w:t xml:space="preserve"> · “How Private Equity Can Impact Franchisee Growth”</w:t>
      </w:r>
    </w:p>
    <w:p>
      <w:pPr>
        <w:pStyle w:val="FirstParagraph"/>
        <w:rPr/>
      </w:pPr>
      <w:r>
        <w:rPr>
          <w:b/>
          <w:bCs/>
        </w:rPr>
        <w:t>Use:</w:t>
      </w:r>
      <w:r>
        <w:rPr/>
        <w:t xml:space="preserve"> Short, citable, perfect for letter opener or LinkedIn DM.</w:t>
      </w:r>
    </w:p>
    <w:p>
      <w:pPr>
        <w:pStyle w:val="Normal"/>
        <w:rPr/>
      </w:pPr>
      <w:bookmarkStart w:id="12" w:name="the-franchise-pe-alignment-in-one-line"/>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
    </w:p>
    <w:p>
      <w:pPr>
        <w:pStyle w:val="Heading3"/>
        <w:rPr/>
      </w:pPr>
      <w:bookmarkStart w:id="13" w:name="Xb1fa77d4b58bf6dc842346d82fa74873fe9691b"/>
      <w:r>
        <w:rPr>
          <w:b/>
          <w:bCs/>
        </w:rPr>
        <w:t>1.5 · Multiple expansion as the value-creation engine</w:t>
      </w:r>
    </w:p>
    <w:p>
      <w:pPr>
        <w:pStyle w:val="BlockText"/>
        <w:rPr/>
      </w:pPr>
      <w:r>
        <w:rPr/>
        <w:t>“</w:t>
      </w:r>
      <w:r>
        <w:rPr/>
        <w:t xml:space="preserve">By improving margins, accelerating growth or professionalising operations, PE firms can justify a higher exit multiple. For example, a fragmented industrial company might receive a 6x EV/EBITDA on entry but command 10x after operational improvements and strategic repositioning.” — </w:t>
      </w:r>
      <w:r>
        <w:rPr>
          <w:b/>
          <w:bCs/>
        </w:rPr>
        <w:t>Moonfare</w:t>
      </w:r>
      <w:r>
        <w:rPr/>
        <w:t xml:space="preserve"> · “What are valuation multiples in private equity” · Jun 2025</w:t>
      </w:r>
    </w:p>
    <w:p>
      <w:pPr>
        <w:pStyle w:val="FirstParagraph"/>
        <w:rPr/>
      </w:pPr>
      <w:r>
        <w:rPr>
          <w:b/>
          <w:bCs/>
        </w:rPr>
        <w:t>Use:</w:t>
      </w:r>
      <w:r>
        <w:rPr/>
        <w:t xml:space="preserve"> This is the math that turns a $300K ARR ServiceBridge deal into $30M+ of platform-level exit value. Cite it when explaining the leverage ratio.</w:t>
      </w:r>
    </w:p>
    <w:p>
      <w:pPr>
        <w:pStyle w:val="Normal"/>
        <w:rPr/>
      </w:pPr>
      <w:bookmarkStart w:id="14" w:name="Xb1fa77d4b58bf6dc842346d82fa74873fe9691b"/>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
    </w:p>
    <w:p>
      <w:pPr>
        <w:pStyle w:val="Heading3"/>
        <w:rPr/>
      </w:pPr>
      <w:bookmarkStart w:id="15" w:name="Xf2e9e5d0a21f2245d229f964ad3f6504980ac22"/>
      <w:r>
        <w:rPr>
          <w:b/>
          <w:bCs/>
        </w:rPr>
        <w:t>1.6 · The PE operator on technology investment specifically</w:t>
      </w:r>
    </w:p>
    <w:p>
      <w:pPr>
        <w:pStyle w:val="BlockText"/>
        <w:rPr/>
      </w:pPr>
      <w:r>
        <w:rPr/>
        <w:t>“</w:t>
      </w:r>
      <w:r>
        <w:rPr/>
        <w:t xml:space="preserve">Their investment in technology, whether it’s organic, whether it’s even through acquisition, that matters to us. In a tight labor market with wage inflation, having more technology and being able to lean on automation helps us generate cash. So, we really are appreciative of the franchisors that are spending their cash on investing in technology.” — </w:t>
      </w:r>
      <w:r>
        <w:rPr>
          <w:b/>
          <w:bCs/>
        </w:rPr>
        <w:t>Sam Banon · Principal · Gauge Capital</w:t>
      </w:r>
      <w:r>
        <w:rPr/>
        <w:t xml:space="preserve"> · Gauge Capital Podcast</w:t>
      </w:r>
    </w:p>
    <w:p>
      <w:pPr>
        <w:pStyle w:val="FirstParagraph"/>
        <w:rPr/>
      </w:pPr>
      <w:r>
        <w:rPr>
          <w:b/>
          <w:bCs/>
        </w:rPr>
        <w:t>Use:</w:t>
      </w:r>
      <w:r>
        <w:rPr/>
        <w:t xml:space="preserve"> PE-operator-in-his-own-words quote. Eric Roth and Joseph Trahan will recognize this as their own peer group speaking. Use to validate that ServiceBridge is the </w:t>
      </w:r>
      <w:r>
        <w:rPr>
          <w:i/>
          <w:iCs/>
        </w:rPr>
        <w:t>kind</w:t>
      </w:r>
      <w:r>
        <w:rPr/>
        <w:t xml:space="preserve"> of investment PE wants franchisors making.</w:t>
      </w:r>
    </w:p>
    <w:p>
      <w:pPr>
        <w:pStyle w:val="Normal"/>
        <w:rPr/>
      </w:pPr>
      <w:bookmarkStart w:id="16" w:name="Xf2e9e5d0a21f2245d229f964ad3f6504980ac22"/>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
    </w:p>
    <w:p>
      <w:pPr>
        <w:pStyle w:val="Heading3"/>
        <w:rPr/>
      </w:pPr>
      <w:bookmarkStart w:id="17" w:name="the-franchisor-cgo-on-what-pe-wants"/>
      <w:r>
        <w:rPr>
          <w:b/>
          <w:bCs/>
        </w:rPr>
        <w:t>1.7 · The franchisor CGO on what PE wants</w:t>
      </w:r>
    </w:p>
    <w:p>
      <w:pPr>
        <w:pStyle w:val="BlockText"/>
        <w:rPr/>
      </w:pPr>
      <w:r>
        <w:rPr/>
        <w:t>“</w:t>
      </w:r>
      <w:r>
        <w:rPr/>
        <w:t xml:space="preserve">In many cases when PE is looking to make that strategic investment, it’s looking to help the management team install new processes and systems that can help serve the franchisees at a higher level. So those franchisees get greater support, become more streamlined, and more profitable.” — </w:t>
      </w:r>
      <w:r>
        <w:rPr>
          <w:b/>
          <w:bCs/>
        </w:rPr>
        <w:t>Josh Wall · CGO · Unleashed Brands</w:t>
      </w:r>
      <w:r>
        <w:rPr/>
        <w:t xml:space="preserve"> (Seidler Equity Partners portfolio)</w:t>
      </w:r>
    </w:p>
    <w:p>
      <w:pPr>
        <w:pStyle w:val="FirstParagraph"/>
        <w:rPr/>
      </w:pPr>
      <w:r>
        <w:rPr>
          <w:b/>
          <w:bCs/>
        </w:rPr>
        <w:t>Use:</w:t>
      </w:r>
      <w:r>
        <w:rPr/>
        <w:t xml:space="preserve"> Crosses the PE-franchisor bridge — a franchisor exec saying what PE-backed franchisors do. Use as the natural connector between PE letter and franchisor letter.</w:t>
      </w:r>
    </w:p>
    <w:p>
      <w:pPr>
        <w:pStyle w:val="Normal"/>
        <w:rPr/>
      </w:pPr>
      <w:bookmarkStart w:id="18" w:name="tier-1-pe-thesis-quotes"/>
      <w:bookmarkStart w:id="19" w:name="the-franchisor-cgo-on-what-pe-wants"/>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
      <w:bookmarkEnd w:id="19"/>
    </w:p>
    <w:p>
      <w:pPr>
        <w:pStyle w:val="Heading1"/>
        <w:rPr/>
      </w:pPr>
      <w:bookmarkStart w:id="20" w:name="X8b051a01ed3e8cbd0be06d36736876c1a28cb2a"/>
      <w:r>
        <w:rPr>
          <w:b/>
          <w:bCs/>
        </w:rPr>
        <w:t>Tier 2 — PE-comp quotes (home services M&amp;A 2025-2026)</w:t>
      </w:r>
    </w:p>
    <w:p>
      <w:pPr>
        <w:pStyle w:val="FirstParagraph"/>
        <w:rPr/>
      </w:pPr>
      <w:r>
        <w:rPr/>
        <w:t>Recent transactions that establish what home services platforms are pricing at. Use these to make the exit math credible without us having to argue it.</w:t>
      </w:r>
    </w:p>
    <w:p>
      <w:pPr>
        <w:pStyle w:val="Heading3"/>
        <w:rPr/>
      </w:pPr>
      <w:bookmarkStart w:id="21" w:name="Xaa052dda597e947707a1e1b4636635f79eb31a6"/>
      <w:r>
        <w:rPr>
          <w:b/>
          <w:bCs/>
        </w:rPr>
        <w:t>2.1 · The Blackstone/Champions comp — this is the 2025 home services anchor</w:t>
      </w:r>
    </w:p>
    <w:p>
      <w:pPr>
        <w:pStyle w:val="BlockText"/>
        <w:rPr/>
      </w:pPr>
      <w:r>
        <w:rPr/>
        <w:t>“</w:t>
      </w:r>
      <w:r>
        <w:rPr/>
        <w:t xml:space="preserve">Blackstone just agreed to pay roughly $2.5 billion for Champions Group, a residential HVAC, plumbing, and electrical platform based in Orange County, California. The deal values the company at approximately 18.5 times EBITDA.” — </w:t>
      </w:r>
      <w:r>
        <w:rPr>
          <w:b/>
          <w:bCs/>
        </w:rPr>
        <w:t>Profitability Partners</w:t>
      </w:r>
      <w:r>
        <w:rPr/>
        <w:t xml:space="preserve"> · “Private Equity and HVAC” · Apr 2026</w:t>
      </w:r>
    </w:p>
    <w:p>
      <w:pPr>
        <w:pStyle w:val="FirstParagraph"/>
        <w:rPr/>
      </w:pPr>
      <w:r>
        <w:rPr>
          <w:b/>
          <w:bCs/>
        </w:rPr>
        <w:t>Why this matters for our pitch:</w:t>
      </w:r>
      <w:r>
        <w:rPr/>
        <w:t xml:space="preserve"> 18.5x is the high end of what’s possible. We don’t claim Empower or Five Star will exit at 18.5x — but it establishes the </w:t>
      </w:r>
      <w:r>
        <w:rPr>
          <w:i/>
          <w:iCs/>
        </w:rPr>
        <w:t>range</w:t>
      </w:r>
      <w:r>
        <w:rPr/>
        <w:t xml:space="preserve"> and shows PE is paying premium multiples for tech-enabled, multi-trade, recurring-revenue home services platforms. Exactly Empower’s category.</w:t>
      </w:r>
    </w:p>
    <w:p>
      <w:pPr>
        <w:pStyle w:val="Normal"/>
        <w:rPr/>
      </w:pPr>
      <w:bookmarkStart w:id="22" w:name="Xaa052dda597e947707a1e1b4636635f79eb31a6"/>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
    </w:p>
    <w:p>
      <w:pPr>
        <w:pStyle w:val="Heading3"/>
        <w:rPr/>
      </w:pPr>
      <w:bookmarkStart w:id="23" w:name="Xd35e7c6fb9fa4cc302bd3834e74212eb23be6f6"/>
      <w:r>
        <w:rPr>
          <w:b/>
          <w:bCs/>
        </w:rPr>
        <w:t>2.2 · The 88% surge in home services PE activity</w:t>
      </w:r>
    </w:p>
    <w:p>
      <w:pPr>
        <w:pStyle w:val="BlockText"/>
        <w:rPr/>
      </w:pPr>
      <w:r>
        <w:rPr/>
        <w:t>“</w:t>
      </w:r>
      <w:r>
        <w:rPr/>
        <w:t xml:space="preserve">Private equity add-on activity in home services rose 88 percent year-over-year through mid-2025, and strategic buyers now account for roughly 80 percent of all HVAC service transactions.” — </w:t>
      </w:r>
      <w:r>
        <w:rPr>
          <w:b/>
          <w:bCs/>
        </w:rPr>
        <w:t>Profitability Partners</w:t>
      </w:r>
      <w:r>
        <w:rPr/>
        <w:t xml:space="preserve"> · Apr 2026</w:t>
      </w:r>
    </w:p>
    <w:p>
      <w:pPr>
        <w:pStyle w:val="FirstParagraph"/>
        <w:rPr/>
      </w:pPr>
      <w:r>
        <w:rPr>
          <w:b/>
          <w:bCs/>
        </w:rPr>
        <w:t>Use:</w:t>
      </w:r>
      <w:r>
        <w:rPr/>
        <w:t xml:space="preserve"> Timing-window quote. Establishes that NOW is the window. PE operators reading this know exactly what’s happening in their pipeline.</w:t>
      </w:r>
    </w:p>
    <w:p>
      <w:pPr>
        <w:pStyle w:val="Normal"/>
        <w:rPr/>
      </w:pPr>
      <w:bookmarkStart w:id="24" w:name="Xd35e7c6fb9fa4cc302bd3834e74212eb23be6f6"/>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
    </w:p>
    <w:p>
      <w:pPr>
        <w:pStyle w:val="Heading3"/>
        <w:rPr/>
      </w:pPr>
      <w:bookmarkStart w:id="25" w:name="the-goldmansila-comp"/>
      <w:r>
        <w:rPr>
          <w:b/>
          <w:bCs/>
        </w:rPr>
        <w:t>2.3 · The Goldman/Sila comp</w:t>
      </w:r>
    </w:p>
    <w:p>
      <w:pPr>
        <w:pStyle w:val="BlockText"/>
        <w:rPr/>
      </w:pPr>
      <w:r>
        <w:rPr/>
        <w:t>“</w:t>
      </w:r>
      <w:r>
        <w:rPr/>
        <w:t xml:space="preserve">Goldman Sachs Alternatives acquired a majority stake in Sila Services from Morgan Stanley Capital Partners at a reported valuation of around $1.7 billion, with an implied multiple in the 17 to 20 times range depending on how you count pending add-ons.” — </w:t>
      </w:r>
      <w:r>
        <w:rPr>
          <w:b/>
          <w:bCs/>
        </w:rPr>
        <w:t>Profitability Partners</w:t>
      </w:r>
      <w:r>
        <w:rPr/>
        <w:t xml:space="preserve"> · Apr 2026</w:t>
      </w:r>
    </w:p>
    <w:p>
      <w:pPr>
        <w:pStyle w:val="FirstParagraph"/>
        <w:rPr/>
      </w:pPr>
      <w:r>
        <w:rPr>
          <w:b/>
          <w:bCs/>
        </w:rPr>
        <w:t>Use:</w:t>
      </w:r>
      <w:r>
        <w:rPr/>
        <w:t xml:space="preserve"> Second comp. Two data points = a pattern, not a one-off. Goldman Sachs at 17-20x is the same story as Blackstone at 18.5x.</w:t>
      </w:r>
    </w:p>
    <w:p>
      <w:pPr>
        <w:pStyle w:val="Normal"/>
        <w:rPr/>
      </w:pPr>
      <w:bookmarkStart w:id="26" w:name="the-goldmansila-comp"/>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
    </w:p>
    <w:p>
      <w:pPr>
        <w:pStyle w:val="Heading3"/>
        <w:rPr/>
      </w:pPr>
      <w:bookmarkStart w:id="27" w:name="X0800407aba5b58267c50d1d10fb06814ad21796"/>
      <w:r>
        <w:rPr>
          <w:b/>
          <w:bCs/>
        </w:rPr>
        <w:t>2.4 · The fractional CFO math — small EBITDA moves, big enterprise value</w:t>
      </w:r>
    </w:p>
    <w:p>
      <w:pPr>
        <w:pStyle w:val="BlockText"/>
        <w:rPr/>
      </w:pPr>
      <w:r>
        <w:rPr/>
        <w:t>“</w:t>
      </w:r>
      <w:r>
        <w:rPr/>
        <w:t xml:space="preserve">At the 11x multiple a business of that size commands, that is roughly $30 million in additional enterprise value from a single fractional CFO engagement… we helped a client move EBITDA from $500,000 to $1 million in one year through margin and growth improvements — creating $2.5 million to $4 million in value at current market multiples.” — </w:t>
      </w:r>
      <w:r>
        <w:rPr>
          <w:b/>
          <w:bCs/>
        </w:rPr>
        <w:t>Profitability Partners</w:t>
      </w:r>
    </w:p>
    <w:p>
      <w:pPr>
        <w:pStyle w:val="FirstParagraph"/>
        <w:rPr/>
      </w:pPr>
      <w:r>
        <w:rPr>
          <w:b/>
          <w:bCs/>
        </w:rPr>
        <w:t>Use:</w:t>
      </w:r>
      <w:r>
        <w:rPr/>
        <w:t xml:space="preserve"> This is the math we run on ServiceBridge — small per-tech EBITDA improvement, big platform-level enterprise value impact. The quote validates the leverage ratio thesis from a credible operator.</w:t>
      </w:r>
    </w:p>
    <w:p>
      <w:pPr>
        <w:pStyle w:val="Normal"/>
        <w:rPr/>
      </w:pPr>
      <w:bookmarkStart w:id="28" w:name="X8b051a01ed3e8cbd0be06d36736876c1a28cb2a"/>
      <w:bookmarkStart w:id="29" w:name="X0800407aba5b58267c50d1d10fb06814ad21796"/>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
      <w:bookmarkEnd w:id="29"/>
    </w:p>
    <w:p>
      <w:pPr>
        <w:pStyle w:val="Heading1"/>
        <w:rPr/>
      </w:pPr>
      <w:bookmarkStart w:id="30" w:name="tier-3-franchisor-pain-quotes"/>
      <w:r>
        <w:rPr>
          <w:b/>
          <w:bCs/>
        </w:rPr>
        <w:t>Tier 3 — Franchisor-pain quotes</w:t>
      </w:r>
    </w:p>
    <w:p>
      <w:pPr>
        <w:pStyle w:val="FirstParagraph"/>
        <w:rPr/>
      </w:pPr>
      <w:r>
        <w:rPr/>
        <w:t xml:space="preserve">Quotes that establish the FSM / technology adoption / unit-level visibility pain franchisors face. Use these in conversations </w:t>
      </w:r>
      <w:r>
        <w:rPr>
          <w:i/>
          <w:iCs/>
        </w:rPr>
        <w:t>about</w:t>
      </w:r>
      <w:r>
        <w:rPr/>
        <w:t xml:space="preserve"> Zide/Abbott (with Eric/Joseph) and </w:t>
      </w:r>
      <w:r>
        <w:rPr>
          <w:i/>
          <w:iCs/>
        </w:rPr>
        <w:t>with</w:t>
      </w:r>
      <w:r>
        <w:rPr/>
        <w:t xml:space="preserve"> Zide/Abbott directly.</w:t>
      </w:r>
    </w:p>
    <w:p>
      <w:pPr>
        <w:pStyle w:val="Heading3"/>
        <w:rPr/>
      </w:pPr>
      <w:bookmarkStart w:id="31" w:name="X0c905bf9cc70a8c7fc92efdc31dc84415652ac8"/>
      <w:r>
        <w:rPr>
          <w:b/>
          <w:bCs/>
        </w:rPr>
        <w:t>3.1 · Unit-level economics as franchisor strategic imperative</w:t>
      </w:r>
    </w:p>
    <w:p>
      <w:pPr>
        <w:pStyle w:val="BlockText"/>
        <w:rPr/>
      </w:pPr>
      <w:r>
        <w:rPr/>
        <w:t>“</w:t>
      </w:r>
      <w:r>
        <w:rPr/>
        <w:t xml:space="preserve">The success or failure of a franchise concept can pivot off of how well unit economics are tracked, managed, and improved.” — </w:t>
      </w:r>
      <w:r>
        <w:rPr>
          <w:b/>
          <w:bCs/>
        </w:rPr>
        <w:t>QSR Magazine</w:t>
      </w:r>
      <w:r>
        <w:rPr/>
        <w:t xml:space="preserve"> (cited by FranConnect, “Unit Level Economics for Franchise Businesses”)</w:t>
      </w:r>
    </w:p>
    <w:p>
      <w:pPr>
        <w:pStyle w:val="FirstParagraph"/>
        <w:rPr/>
      </w:pPr>
      <w:r>
        <w:rPr>
          <w:b/>
          <w:bCs/>
        </w:rPr>
        <w:t>Use:</w:t>
      </w:r>
      <w:r>
        <w:rPr/>
        <w:t xml:space="preserve"> Anchor quote on why unit economics tracking matters to the franchisor. ServiceBridge is the tracking layer.</w:t>
      </w:r>
    </w:p>
    <w:p>
      <w:pPr>
        <w:pStyle w:val="Normal"/>
        <w:rPr/>
      </w:pPr>
      <w:bookmarkStart w:id="32" w:name="X0c905bf9cc70a8c7fc92efdc31dc84415652ac8"/>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
    </w:p>
    <w:p>
      <w:pPr>
        <w:pStyle w:val="Heading3"/>
        <w:rPr/>
      </w:pPr>
      <w:bookmarkStart w:id="33" w:name="X7026c5cc71882ff3296318b6c94306abda5ab04"/>
      <w:r>
        <w:rPr>
          <w:b/>
          <w:bCs/>
        </w:rPr>
        <w:t>3.2 · Technology adoption as fundamental, not optional</w:t>
      </w:r>
    </w:p>
    <w:p>
      <w:pPr>
        <w:pStyle w:val="BlockText"/>
        <w:rPr/>
      </w:pPr>
      <w:r>
        <w:rPr/>
        <w:t>“</w:t>
      </w:r>
      <w:r>
        <w:rPr/>
        <w:t xml:space="preserve">Technology adoption in franchising has shifted from being a competitive advantage to a fundamental necessity.” — </w:t>
      </w:r>
      <w:r>
        <w:rPr>
          <w:b/>
          <w:bCs/>
        </w:rPr>
        <w:t>Franchise Creator</w:t>
      </w:r>
      <w:r>
        <w:rPr/>
        <w:t xml:space="preserve"> · “The Role of Technology in Modern Franchise Management Systems”</w:t>
      </w:r>
    </w:p>
    <w:p>
      <w:pPr>
        <w:pStyle w:val="FirstParagraph"/>
        <w:rPr/>
      </w:pPr>
      <w:r>
        <w:rPr>
          <w:b/>
          <w:bCs/>
        </w:rPr>
        <w:t>Use:</w:t>
      </w:r>
      <w:r>
        <w:rPr/>
        <w:t xml:space="preserve"> Pre-empts the “do we really need this” question franchisor CFOs raise.</w:t>
      </w:r>
    </w:p>
    <w:p>
      <w:pPr>
        <w:pStyle w:val="Normal"/>
        <w:rPr/>
      </w:pPr>
      <w:bookmarkStart w:id="34" w:name="X7026c5cc71882ff3296318b6c94306abda5ab04"/>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
    </w:p>
    <w:p>
      <w:pPr>
        <w:pStyle w:val="Heading3"/>
        <w:rPr/>
      </w:pPr>
      <w:bookmarkStart w:id="35" w:name="the-fragmentation-pain"/>
      <w:r>
        <w:rPr>
          <w:b/>
          <w:bCs/>
        </w:rPr>
        <w:t>3.3 · The fragmentation pain</w:t>
      </w:r>
    </w:p>
    <w:p>
      <w:pPr>
        <w:pStyle w:val="BlockText"/>
        <w:rPr/>
      </w:pPr>
      <w:r>
        <w:rPr/>
        <w:t>“</w:t>
      </w:r>
      <w:r>
        <w:rPr/>
        <w:t xml:space="preserve">Scaling a franchise network introduces compounding complexity — more locations mean more variables, more compliance risks, and more communication gaps.” — </w:t>
      </w:r>
      <w:r>
        <w:rPr>
          <w:b/>
          <w:bCs/>
        </w:rPr>
        <w:t>FieldPie</w:t>
      </w:r>
      <w:r>
        <w:rPr/>
        <w:t xml:space="preserve"> · “Franchise Management: Complete Guide to Scaling Your Brand” (citing Hitachi Solutions)</w:t>
      </w:r>
    </w:p>
    <w:p>
      <w:pPr>
        <w:pStyle w:val="FirstParagraph"/>
        <w:rPr/>
      </w:pPr>
      <w:r>
        <w:rPr>
          <w:b/>
          <w:bCs/>
        </w:rPr>
        <w:t>Use:</w:t>
      </w:r>
      <w:r>
        <w:rPr/>
        <w:t xml:space="preserve"> Frames the operational pain Empower faces with 10 brands and Five Star with multi-brand platform. ServiceBridge is the unification layer.</w:t>
      </w:r>
    </w:p>
    <w:p>
      <w:pPr>
        <w:pStyle w:val="Normal"/>
        <w:rPr/>
      </w:pPr>
      <w:bookmarkStart w:id="36" w:name="the-fragmentation-pain"/>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
    </w:p>
    <w:p>
      <w:pPr>
        <w:pStyle w:val="Heading3"/>
        <w:rPr/>
      </w:pPr>
      <w:bookmarkStart w:id="37" w:name="the-adoption-problem-reality"/>
      <w:r>
        <w:rPr>
          <w:b/>
          <w:bCs/>
        </w:rPr>
        <w:t>3.4 · The adoption-problem reality</w:t>
      </w:r>
    </w:p>
    <w:p>
      <w:pPr>
        <w:pStyle w:val="BlockText"/>
        <w:rPr/>
      </w:pPr>
      <w:r>
        <w:rPr/>
        <w:t>“</w:t>
      </w:r>
      <w:r>
        <w:rPr/>
        <w:t xml:space="preserve">Despite FranConnect’s product improvements, Crest Foods saw a low adoption rate amongst their franchise partners.” — </w:t>
      </w:r>
      <w:r>
        <w:rPr>
          <w:b/>
          <w:bCs/>
        </w:rPr>
        <w:t>FranConnect</w:t>
      </w:r>
      <w:r>
        <w:rPr/>
        <w:t xml:space="preserve"> · “Effective Franchise Field Operations Tool”</w:t>
      </w:r>
    </w:p>
    <w:p>
      <w:pPr>
        <w:pStyle w:val="FirstParagraph"/>
        <w:rPr/>
      </w:pPr>
      <w:r>
        <w:rPr>
          <w:b/>
          <w:bCs/>
        </w:rPr>
        <w:t>Use:</w:t>
      </w:r>
      <w:r>
        <w:rPr/>
        <w:t xml:space="preserve"> Honest about the adoption challenge — pre-empts the BELFOR-HOODZ-94% conversation. Franchisor adoption is hard; that’s why the franchisor-funded model + GPS Insight relationship matters.</w:t>
      </w:r>
    </w:p>
    <w:p>
      <w:pPr>
        <w:pStyle w:val="Normal"/>
        <w:rPr/>
      </w:pPr>
      <w:bookmarkStart w:id="38" w:name="the-adoption-problem-reality"/>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
    </w:p>
    <w:p>
      <w:pPr>
        <w:pStyle w:val="Heading3"/>
        <w:rPr/>
      </w:pPr>
      <w:bookmarkStart w:id="39" w:name="the-franchisor-visibility-need"/>
      <w:r>
        <w:rPr>
          <w:b/>
          <w:bCs/>
        </w:rPr>
        <w:t>3.5 · The franchisor visibility need</w:t>
      </w:r>
    </w:p>
    <w:p>
      <w:pPr>
        <w:pStyle w:val="BlockText"/>
        <w:rPr/>
      </w:pPr>
      <w:r>
        <w:rPr/>
        <w:t>“</w:t>
      </w:r>
      <w:r>
        <w:rPr/>
        <w:t xml:space="preserve">Franchisors need visibility into unit-level economics across their entire system.” — </w:t>
      </w:r>
      <w:r>
        <w:rPr>
          <w:b/>
          <w:bCs/>
        </w:rPr>
        <w:t>FieldPie</w:t>
      </w:r>
      <w:r>
        <w:rPr/>
        <w:t xml:space="preserve"> · 2026 Franchise Management Guide</w:t>
      </w:r>
    </w:p>
    <w:p>
      <w:pPr>
        <w:pStyle w:val="FirstParagraph"/>
        <w:rPr/>
      </w:pPr>
      <w:r>
        <w:rPr>
          <w:b/>
          <w:bCs/>
        </w:rPr>
        <w:t>Use:</w:t>
      </w:r>
      <w:r>
        <w:rPr/>
        <w:t xml:space="preserve"> Direct restatement of the franchisor pain in the franchisor’s own industry voice.</w:t>
      </w:r>
    </w:p>
    <w:p>
      <w:pPr>
        <w:pStyle w:val="Normal"/>
        <w:rPr/>
      </w:pPr>
      <w:bookmarkStart w:id="40" w:name="tier-3-franchisor-pain-quotes"/>
      <w:bookmarkStart w:id="41" w:name="the-franchisor-visibility-need"/>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
      <w:bookmarkEnd w:id="41"/>
    </w:p>
    <w:p>
      <w:pPr>
        <w:pStyle w:val="Heading1"/>
        <w:rPr/>
      </w:pPr>
      <w:bookmarkStart w:id="42" w:name="Xb91c5cca63dd824e0602d524bb5167465f27ed7"/>
      <w:r>
        <w:rPr>
          <w:b/>
          <w:bCs/>
        </w:rPr>
        <w:t>Tier 4 — Franchisor-voice quotes (the bridge)</w:t>
      </w:r>
    </w:p>
    <w:p>
      <w:pPr>
        <w:pStyle w:val="FirstParagraph"/>
        <w:rPr/>
      </w:pPr>
      <w:r>
        <w:rPr/>
        <w:t xml:space="preserve">These are quotes from the actual Empower / Five Star / Princeton-portfolio CEOs. Already pulled from the LinkedIn note research and Joseph Trahan intake form. </w:t>
      </w:r>
      <w:r>
        <w:rPr>
          <w:b/>
          <w:bCs/>
        </w:rPr>
        <w:t>The job they do:</w:t>
      </w:r>
      <w:r>
        <w:rPr/>
        <w:t xml:space="preserve"> When you write a PE letter to Eric Roth, citing Zide’s own words proves the franchisor will receive ServiceBridge well. Same logic for Joseph Trahan with Abbott. They de-risk the intro.</w:t>
      </w:r>
    </w:p>
    <w:p>
      <w:pPr>
        <w:pStyle w:val="Heading3"/>
        <w:rPr/>
      </w:pPr>
      <w:bookmarkStart w:id="43" w:name="scott-zide-on-empowers-north-star"/>
      <w:r>
        <w:rPr>
          <w:b/>
          <w:bCs/>
        </w:rPr>
        <w:t>4.1 · Scott Zide on Empower’s north star</w:t>
      </w:r>
    </w:p>
    <w:p>
      <w:pPr>
        <w:pStyle w:val="BlockText"/>
        <w:rPr/>
      </w:pPr>
      <w:r>
        <w:rPr/>
        <w:t>“</w:t>
      </w:r>
      <w:r>
        <w:rPr/>
        <w:t xml:space="preserve">Strong unit-level economics and franchisee profitability.” — </w:t>
      </w:r>
      <w:r>
        <w:rPr>
          <w:b/>
          <w:bCs/>
        </w:rPr>
        <w:t>Scott Zide · CEO · Empower Brands</w:t>
      </w:r>
      <w:r>
        <w:rPr/>
        <w:t xml:space="preserve"> · Franchise Times Top CEO Nov/Dec 2025</w:t>
      </w:r>
    </w:p>
    <w:p>
      <w:pPr>
        <w:pStyle w:val="FirstParagraph"/>
        <w:rPr/>
      </w:pPr>
      <w:r>
        <w:rPr>
          <w:b/>
          <w:bCs/>
        </w:rPr>
        <w:t>Use:</w:t>
      </w:r>
      <w:r>
        <w:rPr/>
        <w:t xml:space="preserve"> When writing Eric Roth — cite Zide’s own “north star” to show the receiving CEO is already speaking PE’s language.</w:t>
      </w:r>
    </w:p>
    <w:p>
      <w:pPr>
        <w:pStyle w:val="Normal"/>
        <w:rPr/>
      </w:pPr>
      <w:bookmarkStart w:id="44" w:name="scott-zide-on-empowers-north-star"/>
      <w:r>
        <w:rPr/>
        <mc:AlternateContent>
          <mc:Choice Requires="wps">
            <w:drawing>
              <wp:inline distT="0" distB="0" distL="0" distR="0">
                <wp:extent cx="594360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
    </w:p>
    <w:p>
      <w:pPr>
        <w:pStyle w:val="Heading3"/>
        <w:rPr/>
      </w:pPr>
      <w:bookmarkStart w:id="45" w:name="scott-zide-on-empowers-tech-investment"/>
      <w:r>
        <w:rPr>
          <w:b/>
          <w:bCs/>
        </w:rPr>
        <w:t>4.2 · Scott Zide on Empower’s tech investment</w:t>
      </w:r>
    </w:p>
    <w:p>
      <w:pPr>
        <w:pStyle w:val="BlockText"/>
        <w:rPr/>
      </w:pPr>
      <w:r>
        <w:rPr/>
        <w:t>“</w:t>
      </w:r>
      <w:r>
        <w:rPr/>
        <w:t xml:space="preserve">We’ve started a strategic initiative to unite data and AI across our brands. This integration is critical for deepening our insights and enhancing our predictive capabilities, empowering us to make informed, strategic decisions.” — </w:t>
      </w:r>
      <w:r>
        <w:rPr>
          <w:b/>
          <w:bCs/>
        </w:rPr>
        <w:t>Scott Zide · CEO · Empower Brands</w:t>
      </w:r>
      <w:r>
        <w:rPr/>
        <w:t xml:space="preserve"> · Franchising.com · 2024</w:t>
      </w:r>
    </w:p>
    <w:p>
      <w:pPr>
        <w:pStyle w:val="FirstParagraph"/>
        <w:rPr/>
      </w:pPr>
      <w:r>
        <w:rPr>
          <w:b/>
          <w:bCs/>
        </w:rPr>
        <w:t>Use:</w:t>
      </w:r>
      <w:r>
        <w:rPr/>
        <w:t xml:space="preserve"> Zide is </w:t>
      </w:r>
      <w:r>
        <w:rPr>
          <w:i/>
          <w:iCs/>
        </w:rPr>
        <w:t>publicly committed</w:t>
      </w:r>
      <w:r>
        <w:rPr/>
        <w:t xml:space="preserve"> to platform-level data integration. ServiceBridge + GPS Insight is exactly what he’s describing.</w:t>
      </w:r>
    </w:p>
    <w:p>
      <w:pPr>
        <w:pStyle w:val="Normal"/>
        <w:rPr/>
      </w:pPr>
      <w:bookmarkStart w:id="46" w:name="scott-zide-on-empowers-tech-investment"/>
      <w:r>
        <w:rPr/>
        <mc:AlternateContent>
          <mc:Choice Requires="wps">
            <w:drawing>
              <wp:inline distT="0" distB="0" distL="0" distR="0">
                <wp:extent cx="594360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
    </w:p>
    <w:p>
      <w:pPr>
        <w:pStyle w:val="Heading3"/>
        <w:rPr/>
      </w:pPr>
      <w:bookmarkStart w:id="47" w:name="r.-scott-sutton-on-growth-discipline"/>
      <w:r>
        <w:rPr>
          <w:b/>
          <w:bCs/>
        </w:rPr>
        <w:t>4.3 · R. Scott Sutton on growth discipline</w:t>
      </w:r>
    </w:p>
    <w:p>
      <w:pPr>
        <w:pStyle w:val="BlockText"/>
        <w:rPr/>
      </w:pPr>
      <w:r>
        <w:rPr/>
        <w:t>“</w:t>
      </w:r>
      <w:r>
        <w:rPr/>
        <w:t xml:space="preserve">Growing the right way, with the right new owners, in the right markets, at the right time.” — </w:t>
      </w:r>
      <w:r>
        <w:rPr>
          <w:b/>
          <w:bCs/>
        </w:rPr>
        <w:t>R. Scott Sutton · CDO · Empower Brands</w:t>
      </w:r>
      <w:r>
        <w:rPr/>
        <w:t xml:space="preserve"> · IFA release, Aug 2025</w:t>
      </w:r>
    </w:p>
    <w:p>
      <w:pPr>
        <w:pStyle w:val="FirstParagraph"/>
        <w:rPr/>
      </w:pPr>
      <w:r>
        <w:rPr>
          <w:b/>
          <w:bCs/>
        </w:rPr>
        <w:t>Use:</w:t>
      </w:r>
      <w:r>
        <w:rPr/>
        <w:t xml:space="preserve"> Sutton’s signature phrase. Mirror it in any Sutton-targeted communication.</w:t>
      </w:r>
    </w:p>
    <w:p>
      <w:pPr>
        <w:pStyle w:val="Normal"/>
        <w:rPr/>
      </w:pPr>
      <w:bookmarkStart w:id="48" w:name="r.-scott-sutton-on-growth-discipline"/>
      <w:r>
        <w:rPr/>
        <mc:AlternateContent>
          <mc:Choice Requires="wps">
            <w:drawing>
              <wp:inline distT="0" distB="0" distL="0" distR="0">
                <wp:extent cx="594360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
    </w:p>
    <w:p>
      <w:pPr>
        <w:pStyle w:val="Heading3"/>
        <w:rPr/>
      </w:pPr>
      <w:bookmarkStart w:id="49" w:name="cory-lyons-on-franchisee-culture"/>
      <w:r>
        <w:rPr>
          <w:b/>
          <w:bCs/>
        </w:rPr>
        <w:t>4.4 · Cory Lyons on franchisee culture</w:t>
      </w:r>
    </w:p>
    <w:p>
      <w:pPr>
        <w:pStyle w:val="BlockText"/>
        <w:rPr/>
      </w:pPr>
      <w:r>
        <w:rPr/>
        <w:t>“</w:t>
      </w:r>
      <w:r>
        <w:rPr/>
        <w:t xml:space="preserve">We really focus on working together and having that culture of community versus a culture of competition. We all fly the same flag.” — </w:t>
      </w:r>
      <w:r>
        <w:rPr>
          <w:b/>
          <w:bCs/>
        </w:rPr>
        <w:t>Cory Lyons · BP Koala + Wallaby · Empower Brands</w:t>
      </w:r>
      <w:r>
        <w:rPr/>
        <w:t xml:space="preserve"> · Franchise Times · Jul 2025</w:t>
      </w:r>
    </w:p>
    <w:p>
      <w:pPr>
        <w:pStyle w:val="FirstParagraph"/>
        <w:rPr/>
      </w:pPr>
      <w:r>
        <w:rPr>
          <w:b/>
          <w:bCs/>
        </w:rPr>
        <w:t>Use:</w:t>
      </w:r>
      <w:r>
        <w:rPr/>
        <w:t xml:space="preserve"> When pitching Bumble Roofing wedge — Lyons’s own framing of why the Empower portfolio operates as a network, not a collection.</w:t>
      </w:r>
    </w:p>
    <w:p>
      <w:pPr>
        <w:pStyle w:val="Normal"/>
        <w:rPr/>
      </w:pPr>
      <w:bookmarkStart w:id="50" w:name="cory-lyons-on-franchisee-culture"/>
      <w:r>
        <w:rPr/>
        <mc:AlternateContent>
          <mc:Choice Requires="wps">
            <w:drawing>
              <wp:inline distT="0" distB="0" distL="0" distR="0">
                <wp:extent cx="59436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
    </w:p>
    <w:p>
      <w:pPr>
        <w:pStyle w:val="Heading3"/>
        <w:rPr/>
      </w:pPr>
      <w:bookmarkStart w:id="51" w:name="five-star-ceo-on-princetons-value-add"/>
      <w:r>
        <w:rPr>
          <w:b/>
          <w:bCs/>
        </w:rPr>
        <w:t>4.5 · Five Star CEO on Princeton’s value-add</w:t>
      </w:r>
    </w:p>
    <w:p>
      <w:pPr>
        <w:pStyle w:val="BlockText"/>
        <w:rPr/>
      </w:pPr>
      <w:r>
        <w:rPr/>
        <w:t>“</w:t>
      </w:r>
      <w:r>
        <w:rPr/>
        <w:t xml:space="preserve">Improving unit-level economics, unlocking new lead verticals, and launching brand-specific initiatives that directly support franchisee growth.” — </w:t>
      </w:r>
      <w:r>
        <w:rPr>
          <w:b/>
          <w:bCs/>
        </w:rPr>
        <w:t>Five Star Franchising CEO</w:t>
      </w:r>
      <w:r>
        <w:rPr/>
        <w:t xml:space="preserve"> (post-board-visit LinkedIn post) · Q2 2026</w:t>
      </w:r>
    </w:p>
    <w:p>
      <w:pPr>
        <w:pStyle w:val="FirstParagraph"/>
        <w:rPr/>
      </w:pPr>
      <w:r>
        <w:rPr>
          <w:b/>
          <w:bCs/>
        </w:rPr>
        <w:t>Use:</w:t>
      </w:r>
      <w:r>
        <w:rPr/>
        <w:t xml:space="preserve"> This is the gold quote for Joseph Trahan conversation. The Five Star CEO already publicly endorsed the exact thesis ServiceBridge supports — </w:t>
      </w:r>
      <w:r>
        <w:rPr>
          <w:i/>
          <w:iCs/>
        </w:rPr>
        <w:t>unit-level economics + brand-specific initiatives</w:t>
      </w:r>
      <w:r>
        <w:rPr/>
        <w:t>. Princeton (Trahan included) was in the room when the post was made.</w:t>
      </w:r>
    </w:p>
    <w:p>
      <w:pPr>
        <w:pStyle w:val="Normal"/>
        <w:rPr/>
      </w:pPr>
      <w:bookmarkStart w:id="52" w:name="five-star-ceo-on-princetons-value-add"/>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
    </w:p>
    <w:p>
      <w:pPr>
        <w:pStyle w:val="Heading3"/>
        <w:rPr/>
      </w:pPr>
      <w:bookmarkStart w:id="53" w:name="X6206d64e58c3f249bdba0359966e712019088c5"/>
      <w:r>
        <w:rPr>
          <w:b/>
          <w:bCs/>
        </w:rPr>
        <w:t>4.6 · Joseph Trahan on transformational partnerships</w:t>
      </w:r>
    </w:p>
    <w:p>
      <w:pPr>
        <w:pStyle w:val="BlockText"/>
        <w:rPr/>
      </w:pPr>
      <w:r>
        <w:rPr/>
        <w:t>“</w:t>
      </w:r>
      <w:r>
        <w:rPr/>
        <w:t xml:space="preserve">We could not be more thrilled to partner with this transformational brand through its next phase of growth.” — </w:t>
      </w:r>
      <w:r>
        <w:rPr>
          <w:b/>
          <w:bCs/>
        </w:rPr>
        <w:t>Joseph Trahan · Principal · Princeton Equity Group</w:t>
      </w:r>
      <w:r>
        <w:rPr/>
        <w:t xml:space="preserve"> · KidStrong investment release · Mar 24, 2026</w:t>
      </w:r>
    </w:p>
    <w:p>
      <w:pPr>
        <w:pStyle w:val="FirstParagraph"/>
        <w:rPr/>
      </w:pPr>
      <w:r>
        <w:rPr>
          <w:b/>
          <w:bCs/>
        </w:rPr>
        <w:t>Use:</w:t>
      </w:r>
      <w:r>
        <w:rPr/>
        <w:t xml:space="preserve"> Trahan’s own published voice on what Princeton is looking for. Mirror this in opening: ServiceBridge accelerates Princeton’s existing thesis, doesn’t introduce a new one.</w:t>
      </w:r>
    </w:p>
    <w:p>
      <w:pPr>
        <w:pStyle w:val="Normal"/>
        <w:rPr/>
      </w:pPr>
      <w:bookmarkStart w:id="54" w:name="X6206d64e58c3f249bdba0359966e712019088c5"/>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
    </w:p>
    <w:p>
      <w:pPr>
        <w:pStyle w:val="Heading3"/>
        <w:rPr/>
      </w:pPr>
      <w:bookmarkStart w:id="55" w:name="eric-roth-on-digital-transformation"/>
      <w:r>
        <w:rPr>
          <w:b/>
          <w:bCs/>
        </w:rPr>
        <w:t>4.7 · Eric Roth on digital transformation</w:t>
      </w:r>
    </w:p>
    <w:p>
      <w:pPr>
        <w:pStyle w:val="BlockText"/>
        <w:rPr/>
      </w:pPr>
      <w:r>
        <w:rPr/>
        <w:t>“</w:t>
      </w:r>
      <w:r>
        <w:rPr/>
        <w:t xml:space="preserve">Digital transformation across our portfolio.” — </w:t>
      </w:r>
      <w:r>
        <w:rPr>
          <w:b/>
          <w:bCs/>
        </w:rPr>
        <w:t>Eric Roth · MD · MidOcean Partners</w:t>
      </w:r>
      <w:r>
        <w:rPr/>
        <w:t xml:space="preserve"> · Bob Myers operating partner announcement · Aug 2021</w:t>
      </w:r>
    </w:p>
    <w:p>
      <w:pPr>
        <w:pStyle w:val="FirstParagraph"/>
        <w:rPr/>
      </w:pPr>
      <w:r>
        <w:rPr>
          <w:b/>
          <w:bCs/>
        </w:rPr>
        <w:t>Use:</w:t>
      </w:r>
      <w:r>
        <w:rPr/>
        <w:t xml:space="preserve"> Already baked into the existing Eric Roth Meeting Prep DOCX as the invitation-quote opener. Reaffirms what MidOcean has publicly committed to investing in.</w:t>
      </w:r>
    </w:p>
    <w:p>
      <w:pPr>
        <w:pStyle w:val="Normal"/>
        <w:rPr/>
      </w:pPr>
      <w:bookmarkStart w:id="56" w:name="eric-roth-on-digital-transformation"/>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
    </w:p>
    <w:p>
      <w:pPr>
        <w:pStyle w:val="Heading3"/>
        <w:rPr/>
      </w:pPr>
      <w:bookmarkStart w:id="57" w:name="X073c70ae8dfb85a177c17798cd7239151020082"/>
      <w:r>
        <w:rPr>
          <w:b/>
          <w:bCs/>
        </w:rPr>
        <w:t>4.8 · Princeton Equity on their value-add philosophy</w:t>
      </w:r>
    </w:p>
    <w:p>
      <w:pPr>
        <w:pStyle w:val="BlockText"/>
        <w:rPr/>
      </w:pPr>
      <w:r>
        <w:rPr/>
        <w:t>“</w:t>
      </w:r>
      <w:r>
        <w:rPr/>
        <w:t xml:space="preserve">Capital and Expertise for Leading Franchisor &amp; Multi-Location Businesses… focus on franchise and multi-location business models allows us to speak the same language as the management teams with which we partner.” — </w:t>
      </w:r>
      <w:r>
        <w:rPr>
          <w:b/>
          <w:bCs/>
        </w:rPr>
        <w:t>Princeton Equity Group</w:t>
      </w:r>
      <w:r>
        <w:rPr/>
        <w:t xml:space="preserve"> · LinkedIn company page tagline</w:t>
      </w:r>
    </w:p>
    <w:p>
      <w:pPr>
        <w:pStyle w:val="FirstParagraph"/>
        <w:rPr/>
      </w:pPr>
      <w:r>
        <w:rPr>
          <w:b/>
          <w:bCs/>
        </w:rPr>
        <w:t>Use:</w:t>
      </w:r>
      <w:r>
        <w:rPr/>
        <w:t xml:space="preserve"> Princeton’s own positioning — frame ServiceBridge as a tool that speaks both PE language </w:t>
      </w:r>
      <w:r>
        <w:rPr>
          <w:i/>
          <w:iCs/>
        </w:rPr>
        <w:t>and</w:t>
      </w:r>
      <w:r>
        <w:rPr/>
        <w:t xml:space="preserve"> franchisor language, just like Princeton does.</w:t>
      </w:r>
    </w:p>
    <w:p>
      <w:pPr>
        <w:pStyle w:val="Normal"/>
        <w:rPr/>
      </w:pPr>
      <w:bookmarkStart w:id="58" w:name="Xb91c5cca63dd824e0602d524bb5167465f27ed7"/>
      <w:bookmarkStart w:id="59" w:name="X073c70ae8dfb85a177c17798cd7239151020082"/>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
      <w:bookmarkEnd w:id="59"/>
    </w:p>
    <w:p>
      <w:pPr>
        <w:pStyle w:val="Heading1"/>
        <w:rPr/>
      </w:pPr>
      <w:bookmarkStart w:id="60" w:name="how-to-deploy-these-quotes"/>
      <w:r>
        <w:rPr>
          <w:b/>
          <w:bCs/>
        </w:rPr>
        <w:t>How to deploy these quotes</w:t>
      </w:r>
    </w:p>
    <w:p>
      <w:pPr>
        <w:pStyle w:val="Heading2"/>
        <w:rPr/>
      </w:pPr>
      <w:bookmarkStart w:id="61" w:name="X3dbb73ff3d2887a683b36ed0e4d04c1137c7b49"/>
      <w:r>
        <w:rPr>
          <w:b/>
          <w:bCs/>
        </w:rPr>
        <w:t>For the Eric Roth conversation (when LinkedIn invite accepts)</w:t>
      </w:r>
    </w:p>
    <w:p>
      <w:pPr>
        <w:pStyle w:val="Compact"/>
        <w:numPr>
          <w:ilvl w:val="0"/>
          <w:numId w:val="8"/>
        </w:numPr>
        <w:rPr/>
      </w:pPr>
      <w:r>
        <w:rPr/>
        <w:t xml:space="preserve">Open with </w:t>
      </w:r>
      <w:r>
        <w:rPr>
          <w:b/>
          <w:bCs/>
        </w:rPr>
        <w:t>4.7</w:t>
      </w:r>
      <w:r>
        <w:rPr/>
        <w:t xml:space="preserve"> (Eric’s own digital-transformation quote) — already in Meeting Prep DOCX</w:t>
      </w:r>
    </w:p>
    <w:p>
      <w:pPr>
        <w:pStyle w:val="Compact"/>
        <w:numPr>
          <w:ilvl w:val="0"/>
          <w:numId w:val="1"/>
        </w:numPr>
        <w:rPr/>
      </w:pPr>
      <w:r>
        <w:rPr/>
        <w:t xml:space="preserve">Bridge with </w:t>
      </w:r>
      <w:r>
        <w:rPr>
          <w:b/>
          <w:bCs/>
        </w:rPr>
        <w:t>2.1 + 2.2 + 2.3</w:t>
      </w:r>
      <w:r>
        <w:rPr/>
        <w:t xml:space="preserve"> (Blackstone/Goldman comps + 88% surge) — to establish market timing</w:t>
      </w:r>
    </w:p>
    <w:p>
      <w:pPr>
        <w:pStyle w:val="Compact"/>
        <w:numPr>
          <w:ilvl w:val="0"/>
          <w:numId w:val="1"/>
        </w:numPr>
        <w:rPr/>
      </w:pPr>
      <w:r>
        <w:rPr/>
        <w:t xml:space="preserve">Cite </w:t>
      </w:r>
      <w:r>
        <w:rPr>
          <w:b/>
          <w:bCs/>
        </w:rPr>
        <w:t>4.1 + 4.2</w:t>
      </w:r>
      <w:r>
        <w:rPr/>
        <w:t xml:space="preserve"> (Zide’s own north star + AI/data initiative) — to prove the franchisor is ready to receive</w:t>
      </w:r>
    </w:p>
    <w:p>
      <w:pPr>
        <w:pStyle w:val="Compact"/>
        <w:numPr>
          <w:ilvl w:val="0"/>
          <w:numId w:val="1"/>
        </w:numPr>
        <w:rPr/>
      </w:pPr>
      <w:r>
        <w:rPr/>
        <w:t xml:space="preserve">Close with </w:t>
      </w:r>
      <w:r>
        <w:rPr>
          <w:b/>
          <w:bCs/>
        </w:rPr>
        <w:t>1.6</w:t>
      </w:r>
      <w:r>
        <w:rPr/>
        <w:t xml:space="preserve"> (Sam Banon/Gauge Capital — “we are appreciative of franchisors investing in technology”) — PE peer voice validating our thesis</w:t>
      </w:r>
      <w:bookmarkEnd w:id="61"/>
    </w:p>
    <w:p>
      <w:pPr>
        <w:pStyle w:val="Heading2"/>
        <w:rPr/>
      </w:pPr>
      <w:bookmarkStart w:id="62" w:name="Xbdb553353b48026f9815e333324adc419281f4b"/>
      <w:r>
        <w:rPr>
          <w:b/>
          <w:bCs/>
        </w:rPr>
        <w:t>For the Joseph Trahan conversation (when Lexington intro forwards)</w:t>
      </w:r>
    </w:p>
    <w:p>
      <w:pPr>
        <w:pStyle w:val="Compact"/>
        <w:numPr>
          <w:ilvl w:val="0"/>
          <w:numId w:val="9"/>
        </w:numPr>
        <w:rPr/>
      </w:pPr>
      <w:r>
        <w:rPr/>
        <w:t xml:space="preserve">Open with </w:t>
      </w:r>
      <w:r>
        <w:rPr>
          <w:b/>
          <w:bCs/>
        </w:rPr>
        <w:t>4.6</w:t>
      </w:r>
      <w:r>
        <w:rPr/>
        <w:t xml:space="preserve"> (Trahan’s KidStrong “transformational brand” quote) + </w:t>
      </w:r>
      <w:r>
        <w:rPr>
          <w:b/>
          <w:bCs/>
        </w:rPr>
        <w:t>4.5</w:t>
      </w:r>
      <w:r>
        <w:rPr/>
        <w:t xml:space="preserve"> (Five Star CEO’s Q2 board-visit post — “unit-level economics, new lead verticals”)</w:t>
      </w:r>
    </w:p>
    <w:p>
      <w:pPr>
        <w:pStyle w:val="Compact"/>
        <w:numPr>
          <w:ilvl w:val="0"/>
          <w:numId w:val="10"/>
        </w:numPr>
        <w:rPr/>
      </w:pPr>
      <w:r>
        <w:rPr/>
        <w:t xml:space="preserve">Bridge with </w:t>
      </w:r>
      <w:r>
        <w:rPr>
          <w:b/>
          <w:bCs/>
        </w:rPr>
        <w:t>4.8</w:t>
      </w:r>
      <w:r>
        <w:rPr/>
        <w:t xml:space="preserve"> (Princeton’s “speak the same language” tagline) — frame ServiceBridge as a tool that does the same translation</w:t>
      </w:r>
    </w:p>
    <w:p>
      <w:pPr>
        <w:pStyle w:val="Compact"/>
        <w:numPr>
          <w:ilvl w:val="0"/>
          <w:numId w:val="11"/>
        </w:numPr>
        <w:rPr/>
      </w:pPr>
      <w:r>
        <w:rPr/>
        <w:t xml:space="preserve">Cite </w:t>
      </w:r>
      <w:r>
        <w:rPr>
          <w:b/>
          <w:bCs/>
        </w:rPr>
        <w:t>2.1</w:t>
      </w:r>
      <w:r>
        <w:rPr/>
        <w:t xml:space="preserve"> (Blackstone comp) and </w:t>
      </w:r>
      <w:r>
        <w:rPr>
          <w:b/>
          <w:bCs/>
        </w:rPr>
        <w:t>1.5</w:t>
      </w:r>
      <w:r>
        <w:rPr/>
        <w:t xml:space="preserve"> (multiple expansion 6x → 10x) — the math</w:t>
      </w:r>
    </w:p>
    <w:p>
      <w:pPr>
        <w:pStyle w:val="Compact"/>
        <w:numPr>
          <w:ilvl w:val="0"/>
          <w:numId w:val="12"/>
        </w:numPr>
        <w:rPr/>
      </w:pPr>
      <w:r>
        <w:rPr/>
        <w:t xml:space="preserve">Close with </w:t>
      </w:r>
      <w:r>
        <w:rPr>
          <w:b/>
          <w:bCs/>
        </w:rPr>
        <w:t>1.7</w:t>
      </w:r>
      <w:r>
        <w:rPr/>
        <w:t xml:space="preserve"> (Josh Wall / Unleashed Brands CGO) — franchisor-exec voice on what PE-backed franchisors need</w:t>
      </w:r>
      <w:bookmarkEnd w:id="62"/>
    </w:p>
    <w:p>
      <w:pPr>
        <w:pStyle w:val="Heading2"/>
        <w:rPr/>
      </w:pPr>
      <w:bookmarkStart w:id="63" w:name="Xa2219c8045a10a2803ed56486f17b3be9975486"/>
      <w:r>
        <w:rPr>
          <w:b/>
          <w:bCs/>
        </w:rPr>
        <w:t>For PE narrative letters to Charles + Mike to co-sign</w:t>
      </w:r>
    </w:p>
    <w:p>
      <w:pPr>
        <w:pStyle w:val="Compact"/>
        <w:numPr>
          <w:ilvl w:val="0"/>
          <w:numId w:val="3"/>
        </w:numPr>
        <w:rPr/>
      </w:pPr>
      <w:r>
        <w:rPr/>
        <w:t xml:space="preserve">Opener: </w:t>
      </w:r>
      <w:r>
        <w:rPr>
          <w:b/>
          <w:bCs/>
        </w:rPr>
        <w:t>1.4</w:t>
      </w:r>
      <w:r>
        <w:rPr/>
        <w:t xml:space="preserve"> (Apple Pie Capital, short citable line)</w:t>
      </w:r>
    </w:p>
    <w:p>
      <w:pPr>
        <w:pStyle w:val="Compact"/>
        <w:numPr>
          <w:ilvl w:val="0"/>
          <w:numId w:val="3"/>
        </w:numPr>
        <w:rPr/>
      </w:pPr>
      <w:r>
        <w:rPr/>
        <w:t xml:space="preserve">Math anchor: </w:t>
      </w:r>
      <w:r>
        <w:rPr>
          <w:b/>
          <w:bCs/>
        </w:rPr>
        <w:t>2.1</w:t>
      </w:r>
      <w:r>
        <w:rPr/>
        <w:t xml:space="preserve"> + </w:t>
      </w:r>
      <w:r>
        <w:rPr>
          <w:b/>
          <w:bCs/>
        </w:rPr>
        <w:t>1.5</w:t>
      </w:r>
      <w:r>
        <w:rPr/>
        <w:t xml:space="preserve"> (Blackstone comp + multiple expansion)</w:t>
      </w:r>
    </w:p>
    <w:p>
      <w:pPr>
        <w:pStyle w:val="Compact"/>
        <w:numPr>
          <w:ilvl w:val="0"/>
          <w:numId w:val="3"/>
        </w:numPr>
        <w:rPr/>
      </w:pPr>
      <w:r>
        <w:rPr/>
        <w:t xml:space="preserve">Franchisor-side validation: </w:t>
      </w:r>
      <w:r>
        <w:rPr>
          <w:b/>
          <w:bCs/>
        </w:rPr>
        <w:t>4.1</w:t>
      </w:r>
      <w:r>
        <w:rPr/>
        <w:t xml:space="preserve"> (Zide’s north star) or </w:t>
      </w:r>
      <w:r>
        <w:rPr>
          <w:b/>
          <w:bCs/>
        </w:rPr>
        <w:t>4.5</w:t>
      </w:r>
      <w:r>
        <w:rPr/>
        <w:t xml:space="preserve"> (Five Star CEO)</w:t>
      </w:r>
    </w:p>
    <w:p>
      <w:pPr>
        <w:pStyle w:val="Compact"/>
        <w:numPr>
          <w:ilvl w:val="0"/>
          <w:numId w:val="3"/>
        </w:numPr>
        <w:rPr/>
      </w:pPr>
      <w:r>
        <w:rPr/>
        <w:t xml:space="preserve">Close: </w:t>
      </w:r>
      <w:r>
        <w:rPr>
          <w:b/>
          <w:bCs/>
        </w:rPr>
        <w:t>1.6</w:t>
      </w:r>
      <w:r>
        <w:rPr/>
        <w:t xml:space="preserve"> (Banon/Gauge — “we are appreciative…”)</w:t>
      </w:r>
      <w:bookmarkEnd w:id="63"/>
    </w:p>
    <w:p>
      <w:pPr>
        <w:pStyle w:val="Heading2"/>
        <w:rPr/>
      </w:pPr>
      <w:bookmarkStart w:id="64" w:name="X657ce9db9b013deecef7147ea982673b50b1f83"/>
      <w:r>
        <w:rPr>
          <w:b/>
          <w:bCs/>
        </w:rPr>
        <w:t>For LinkedIn posts / America 250 thought leadership</w:t>
      </w:r>
    </w:p>
    <w:p>
      <w:pPr>
        <w:pStyle w:val="Compact"/>
        <w:numPr>
          <w:ilvl w:val="0"/>
          <w:numId w:val="13"/>
        </w:numPr>
        <w:rPr/>
      </w:pPr>
      <w:r>
        <w:rPr>
          <w:b/>
          <w:bCs/>
        </w:rPr>
        <w:t>3.1</w:t>
      </w:r>
      <w:r>
        <w:rPr/>
        <w:t xml:space="preserve"> + </w:t>
      </w:r>
      <w:r>
        <w:rPr>
          <w:b/>
          <w:bCs/>
        </w:rPr>
        <w:t>3.2</w:t>
      </w:r>
      <w:r>
        <w:rPr/>
        <w:t xml:space="preserve"> (unit economics + tech adoption necessity) — establish the pain</w:t>
      </w:r>
    </w:p>
    <w:p>
      <w:pPr>
        <w:pStyle w:val="Compact"/>
        <w:numPr>
          <w:ilvl w:val="0"/>
          <w:numId w:val="14"/>
        </w:numPr>
        <w:rPr/>
      </w:pPr>
      <w:r>
        <w:rPr>
          <w:b/>
          <w:bCs/>
        </w:rPr>
        <w:t>2.2</w:t>
      </w:r>
      <w:r>
        <w:rPr/>
        <w:t xml:space="preserve"> (88% surge) — establish the timing</w:t>
      </w:r>
    </w:p>
    <w:p>
      <w:pPr>
        <w:pStyle w:val="Compact"/>
        <w:numPr>
          <w:ilvl w:val="0"/>
          <w:numId w:val="15"/>
        </w:numPr>
        <w:rPr/>
      </w:pPr>
      <w:r>
        <w:rPr>
          <w:b/>
          <w:bCs/>
        </w:rPr>
        <w:t>1.2</w:t>
      </w:r>
      <w:r>
        <w:rPr/>
        <w:t xml:space="preserve"> (Neighborly platform playbook) — establish the pattern</w:t>
      </w:r>
    </w:p>
    <w:p>
      <w:pPr>
        <w:pStyle w:val="Compact"/>
        <w:numPr>
          <w:ilvl w:val="0"/>
          <w:numId w:val="16"/>
        </w:numPr>
        <w:rPr/>
      </w:pPr>
      <w:bookmarkStart w:id="65" w:name="X657ce9db9b013deecef7147ea982673b50b1f83"/>
      <w:r>
        <w:rPr/>
        <w:t>Pivot to your own commentary on the gap (FSM unification across PE-backed networks)</w:t>
      </w:r>
      <w:bookmarkEnd w:id="65"/>
    </w:p>
    <w:p>
      <w:pPr>
        <w:pStyle w:val="Heading2"/>
        <w:rPr/>
      </w:pPr>
      <w:bookmarkStart w:id="66" w:name="Xd0e8fe5194db29d076442dfbed32694455dd9a9"/>
      <w:r>
        <w:rPr>
          <w:b/>
          <w:bCs/>
        </w:rPr>
        <w:t>For franchisor C-suite outreach (Zide direct, Abbott direct)</w:t>
      </w:r>
    </w:p>
    <w:p>
      <w:pPr>
        <w:pStyle w:val="Compact"/>
        <w:numPr>
          <w:ilvl w:val="0"/>
          <w:numId w:val="17"/>
        </w:numPr>
        <w:rPr/>
      </w:pPr>
      <w:r>
        <w:rPr>
          <w:b/>
          <w:bCs/>
        </w:rPr>
        <w:t>3.5</w:t>
      </w:r>
      <w:r>
        <w:rPr/>
        <w:t xml:space="preserve"> (FieldPie — “franchisors need visibility”) — establish their pain in industry voice</w:t>
      </w:r>
    </w:p>
    <w:p>
      <w:pPr>
        <w:pStyle w:val="Compact"/>
        <w:numPr>
          <w:ilvl w:val="0"/>
          <w:numId w:val="18"/>
        </w:numPr>
        <w:rPr/>
      </w:pPr>
      <w:r>
        <w:rPr>
          <w:b/>
          <w:bCs/>
        </w:rPr>
        <w:t>4.1</w:t>
      </w:r>
      <w:r>
        <w:rPr/>
        <w:t xml:space="preserve"> or </w:t>
      </w:r>
      <w:r>
        <w:rPr>
          <w:b/>
          <w:bCs/>
        </w:rPr>
        <w:t>4.5</w:t>
      </w:r>
      <w:r>
        <w:rPr/>
        <w:t xml:space="preserve"> (their own words back to them) — confirms we listened</w:t>
      </w:r>
    </w:p>
    <w:p>
      <w:pPr>
        <w:pStyle w:val="Compact"/>
        <w:numPr>
          <w:ilvl w:val="0"/>
          <w:numId w:val="19"/>
        </w:numPr>
        <w:rPr/>
      </w:pPr>
      <w:r>
        <w:rPr>
          <w:b/>
          <w:bCs/>
        </w:rPr>
        <w:t>3.3</w:t>
      </w:r>
      <w:r>
        <w:rPr/>
        <w:t xml:space="preserve"> (FieldPie/Hitachi on scaling complexity) — explains why now</w:t>
      </w:r>
    </w:p>
    <w:p>
      <w:pPr>
        <w:pStyle w:val="Compact"/>
        <w:numPr>
          <w:ilvl w:val="0"/>
          <w:numId w:val="20"/>
        </w:numPr>
        <w:rPr/>
      </w:pPr>
      <w:r>
        <w:rPr>
          <w:b/>
          <w:bCs/>
        </w:rPr>
        <w:t>1.6</w:t>
      </w:r>
      <w:r>
        <w:rPr/>
        <w:t xml:space="preserve"> (Banon/Gauge) — explains what their PE owner wants them doing</w:t>
      </w:r>
    </w:p>
    <w:p>
      <w:pPr>
        <w:pStyle w:val="Normal"/>
        <w:rPr/>
      </w:pPr>
      <w:bookmarkStart w:id="67" w:name="how-to-deploy-these-quotes"/>
      <w:bookmarkStart w:id="68" w:name="Xd0e8fe5194db29d076442dfbed32694455dd9a9"/>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
      <w:bookmarkEnd w:id="68"/>
    </w:p>
    <w:p>
      <w:pPr>
        <w:pStyle w:val="Heading1"/>
        <w:rPr/>
      </w:pPr>
      <w:bookmarkStart w:id="69" w:name="quote-credibility-hierarchy"/>
      <w:r>
        <w:rPr>
          <w:b/>
          <w:bCs/>
        </w:rPr>
        <w:t>Quote credibility hierarchy</w:t>
      </w:r>
    </w:p>
    <w:p>
      <w:pPr>
        <w:pStyle w:val="FirstParagraph"/>
        <w:rPr/>
      </w:pPr>
      <w:r>
        <w:rPr/>
        <w:t>When choosing between quotes for the same point, prefer in this order:</w:t>
      </w:r>
    </w:p>
    <w:p>
      <w:pPr>
        <w:pStyle w:val="Compact"/>
        <w:numPr>
          <w:ilvl w:val="0"/>
          <w:numId w:val="21"/>
        </w:numPr>
        <w:rPr/>
      </w:pPr>
      <w:r>
        <w:rPr>
          <w:b/>
          <w:bCs/>
        </w:rPr>
        <w:t>The audience’s own past quotes</w:t>
      </w:r>
      <w:r>
        <w:rPr/>
        <w:t xml:space="preserve"> (Tier 4 specifically) — strongest possible echo</w:t>
      </w:r>
    </w:p>
    <w:p>
      <w:pPr>
        <w:pStyle w:val="Compact"/>
        <w:numPr>
          <w:ilvl w:val="0"/>
          <w:numId w:val="22"/>
        </w:numPr>
        <w:rPr/>
      </w:pPr>
      <w:r>
        <w:rPr>
          <w:b/>
          <w:bCs/>
        </w:rPr>
        <w:t>Named PE operating partners or franchisor CEOs</w:t>
      </w:r>
      <w:r>
        <w:rPr/>
        <w:t xml:space="preserve"> (Tier 1.6, 1.7) — peer voice</w:t>
      </w:r>
    </w:p>
    <w:p>
      <w:pPr>
        <w:pStyle w:val="Compact"/>
        <w:numPr>
          <w:ilvl w:val="0"/>
          <w:numId w:val="23"/>
        </w:numPr>
        <w:rPr/>
      </w:pPr>
      <w:r>
        <w:rPr>
          <w:b/>
          <w:bCs/>
        </w:rPr>
        <w:t>Recent (2025-2026) transaction data with $ amounts and multiples</w:t>
      </w:r>
      <w:r>
        <w:rPr/>
        <w:t xml:space="preserve"> (Tier 2) — fact-based, not opinion</w:t>
      </w:r>
    </w:p>
    <w:p>
      <w:pPr>
        <w:pStyle w:val="Compact"/>
        <w:numPr>
          <w:ilvl w:val="0"/>
          <w:numId w:val="24"/>
        </w:numPr>
        <w:rPr/>
      </w:pPr>
      <w:r>
        <w:rPr>
          <w:b/>
          <w:bCs/>
        </w:rPr>
        <w:t>Industry-strategist or franchise-publication quotes</w:t>
      </w:r>
      <w:r>
        <w:rPr/>
        <w:t xml:space="preserve"> (Tier 1.1, 1.2, 3.1, 3.2) — credible but generic</w:t>
      </w:r>
    </w:p>
    <w:p>
      <w:pPr>
        <w:pStyle w:val="Compact"/>
        <w:numPr>
          <w:ilvl w:val="0"/>
          <w:numId w:val="25"/>
        </w:numPr>
        <w:rPr/>
      </w:pPr>
      <w:r>
        <w:rPr>
          <w:b/>
          <w:bCs/>
        </w:rPr>
        <w:t>Vendor or consultant blog quotes</w:t>
      </w:r>
      <w:r>
        <w:rPr/>
        <w:t xml:space="preserve"> (rare — Tier 3.3, 3.5) — last resort, use only when the framing is unique</w:t>
      </w:r>
    </w:p>
    <w:p>
      <w:pPr>
        <w:pStyle w:val="Normal"/>
        <w:rPr/>
      </w:pPr>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bookmarkStart w:id="70" w:name="quote-credibility-hierarchy"/>
      <w:r>
        <w:rPr>
          <w:i/>
          <w:iCs/>
        </w:rPr>
        <w:t>Velocity GTM Co LLC · Industry Quote Library · Whale Hunt Edition · May 11, 2026</w:t>
      </w:r>
      <w:bookmarkEnd w:id="70"/>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iso-8859-1"/>
    <w:family w:val="roman"/>
    <w:pitch w:val="variable"/>
  </w:font>
  <w:font w:name="Calibri">
    <w:charset w:val="00" w:characterSet="iso-8859-1"/>
    <w:family w:val="roman"/>
    <w:pitch w:val="variable"/>
  </w:font>
  <w:font w:name="Consolas">
    <w:charset w:val="00" w:characterSet="iso-8859-1"/>
    <w:family w:val="roman"/>
    <w:pitch w:val="variable"/>
  </w:font>
  <w:font w:name="Liberation Sans">
    <w:altName w:val="Arial"/>
    <w:charset w:val="00" w:characterSet="iso-8859-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2">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1"/>
    <w:lvlOverride w:ilvl="0">
      <w:startOverride w:val="1"/>
    </w:lvlOverride>
  </w:num>
  <w:num w:numId="9">
    <w:abstractNumId w:val="1"/>
    <w:lvlOverride w:ilvl="0">
      <w:startOverride w:val="1"/>
    </w:lvlOverride>
  </w:num>
  <w:num w:numId="10">
    <w:abstractNumId w:val="1"/>
  </w:num>
  <w:num w:numId="11">
    <w:abstractNumId w:val="1"/>
  </w:num>
  <w:num w:numId="12">
    <w:abstractNumId w:val="1"/>
  </w:num>
  <w:num w:numId="13">
    <w:abstractNumId w:val="3"/>
  </w:num>
  <w:num w:numId="14">
    <w:abstractNumId w:val="3"/>
  </w:num>
  <w:num w:numId="15">
    <w:abstractNumId w:val="3"/>
  </w:num>
  <w:num w:numId="16">
    <w:abstractNumId w:val="3"/>
  </w:num>
  <w:num w:numId="17">
    <w:abstractNumId w:val="3"/>
  </w:num>
  <w:num w:numId="18">
    <w:abstractNumId w:val="3"/>
  </w:num>
  <w:num w:numId="19">
    <w:abstractNumId w:val="3"/>
  </w:num>
  <w:num w:numId="20">
    <w:abstractNumId w:val="3"/>
  </w:num>
  <w:num w:numId="21">
    <w:abstractNumId w:val="1"/>
    <w:lvlOverride w:ilvl="0">
      <w:startOverride w:val="1"/>
    </w:lvlOverride>
  </w:num>
  <w:num w:numId="22">
    <w:abstractNumId w:val="1"/>
  </w:num>
  <w:num w:numId="23">
    <w:abstractNumId w:val="1"/>
  </w:num>
  <w:num w:numId="24">
    <w:abstractNumId w:val="1"/>
  </w:num>
  <w:num w:numId="25">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2026-05-11T20:04:06Z</dcterms:created>
  <dc:creator/>
  <dc:description/>
  <dc:language>en-US</dc:language>
  <cp:lastModifiedBy/>
  <dcterms:modified xsi:type="dcterms:W3CDTF">2026-05-11T20:04:06Z</dcterms:modified>
  <cp:revision>0</cp:revision>
  <dc:subject/>
  <dc:title/>
</cp:coreProperties>
</file>

<file path=docProps/custom.xml><?xml version="1.0" encoding="utf-8"?>
<Properties xmlns="http://schemas.openxmlformats.org/officeDocument/2006/custom-properties" xmlns:vt="http://schemas.openxmlformats.org/officeDocument/2006/docPropsVTypes"/>
</file>