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B3C"/>
          <w:sz w:val="36"/>
          <w:szCs w:val="36"/>
        </w:rPr>
        <w:t xml:space="preserve">AMERICA 250 CHALLENGE COIN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Vendor Sourcing &amp; Cost Sheet — 500 unit run</w:t>
      </w:r>
    </w:p>
    <w:p>
      <w:pPr>
        <w:pBdr>
          <w:bottom w:val="single" w:color="1A2B3C" w:sz="12" w:space="4"/>
        </w:pBd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GPSInsight × ServiceBridge · v18 FINAL · May 2026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Design v18 FINAL · 1.5" diameter · Die-struck brass · Hard enamel · Antique silver rim with navy enamel band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2B3C"/>
          <w:sz w:val="30"/>
          <w:szCs w:val="30"/>
        </w:rPr>
        <w:t xml:space="preserve">1. Coin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Diameter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 inch (38 mm)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Thickness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3.0–3.5 mm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metal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Die-struck heavy brass (premium standard)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 fill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 enamel, both sides (smooth jewelry finish)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Plating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Antique silver (rim) with navy and black enamel fields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Reeded (60 ticks)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5–6 Pantone: Navy 295C, Red 187C, White, Antique Silver, GPS Blue 7691C, GPS Red 7621C, GPS Green 357C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coins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Packaging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PVC pouch per coin (upgrade to velvet box optional for VIP/whale-hunt subset)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2B3C"/>
          <w:sz w:val="30"/>
          <w:szCs w:val="30"/>
        </w:rPr>
        <w:t xml:space="preserve">2. Vendor Comparison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Five qualified US-facing vendors with proven challenge coin production. All quotes are estimates for 500 units of the specified design. Final pricing requires submitted artwork and quote.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300"/>
        <w:gridCol w:w="1100"/>
        <w:gridCol w:w="1200"/>
        <w:gridCol w:w="2860"/>
      </w:tblGrid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Per-coin est.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500 total est.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Mold fee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time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About Challenge Coins  (preferred — prior relationship)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$3.50–$4.50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$1,750–$2,250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Waived at 300+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10–14 days (overseas) | ~2 wks (US-made die-struck)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Mike has used previously. Both overseas and American-made options. Proven track record.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ChallengeCoins4Less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$3.95–$4.75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$1,975–$2,375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Waived at 300+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14–17 days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Industry leader. Free design + revisions. Free US shipping. Mold kept 2 yrs.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MetalPromo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$3.75–$4.50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$1,875–$2,250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Waived at 300+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10–15 days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15+ yrs experience. Quote within 24 hrs.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2B3C"/>
          <w:sz w:val="30"/>
          <w:szCs w:val="30"/>
        </w:rPr>
        <w:t xml:space="preserve">3. Cost Breakdown — 500 units</w:t>
      </w:r>
    </w:p>
    <w:p>
      <w:pPr>
        <w:spacing w:after="160" w:before="0"/>
        <w:jc w:val="left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Typical all-in cost for 500 die-struck brass coins with two-sided hard enamel, antique silver plating, and reeded edge.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2200"/>
        <w:gridCol w:w="2200"/>
      </w:tblGrid>
      <w:tr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estimate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estimate</w:t>
            </w:r>
          </w:p>
        </w:tc>
      </w:tr>
      <w:tr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Coins (500 × per-unit)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$1,750.00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$2,375.00</w:t>
            </w:r>
          </w:p>
        </w:tc>
      </w:tr>
      <w:tr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Mold fee (typically waived at 300+)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Setup / artwork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 (most vendors include free)</w:t>
            </w:r>
          </w:p>
        </w:tc>
      </w:tr>
      <w:tr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PVC pouch packaging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 (typically included)</w:t>
            </w:r>
          </w:p>
        </w:tc>
      </w:tr>
      <w:tr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Upgrade: velvet box for 50 VIP coins ($3–$5/ea)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$150.00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$250.00</w:t>
            </w:r>
          </w:p>
        </w:tc>
      </w:tr>
      <w:tr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Upgrade: acrylic capsule + desk display stand for ~120 VIP/leadership coins ($2–$5/ea)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$240.00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$600.00</w:t>
            </w:r>
          </w:p>
        </w:tc>
      </w:tr>
      <w:tr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Domestic shipping (continental US)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 (typically free)</w:t>
            </w:r>
          </w:p>
        </w:tc>
      </w:tr>
      <w:tr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Rush fee (if needed, 15–30%)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Optional add</w:t>
            </w:r>
          </w:p>
        </w:tc>
      </w:tr>
      <w:tr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D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Subtotal (standard run)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D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$1,750.00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D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$2,375.00</w:t>
            </w:r>
          </w:p>
        </w:tc>
      </w:tr>
      <w:tr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D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Subtotal w/ VIP velvet boxes + desk stands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D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$2,140.00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D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$3,225.00</w:t>
            </w:r>
          </w:p>
        </w:tc>
      </w:tr>
    </w:tbl>
    <w:p>
      <w:pPr>
        <w:spacing w:after="240"/>
      </w:pPr>
      <w:r>
        <w:t xml:space="preserve"/>
      </w:r>
    </w:p>
    <w:p>
      <w:pPr>
        <w:shd w:fill="1A2B3C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BOTTOM LINE — 500 coins, standard run: $1,750–$2,375  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VIP velvet boxes (50): +$150–$250 · Desk display stands (120): +$240–$600 · All-in: $2,140–$3,225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2B3C"/>
          <w:sz w:val="30"/>
          <w:szCs w:val="30"/>
        </w:rPr>
        <w:t xml:space="preserve">4. Distribution Plan — 500 units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0"/>
        <w:gridCol w:w="1100"/>
        <w:gridCol w:w="2600"/>
      </w:tblGrid>
      <w:tr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 group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Existing GPS Insight / ServiceBridge clients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 recognition and loyalty</w:t>
            </w:r>
          </w:p>
        </w:tc>
      </w:tr>
      <w:tr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T1 franchisor leadership (9 targets × 3 coins each — Neighborly, Authority, Empower, ResiBrands, Five Star, PSB, HomeFront, BELFOR, Threshold)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Whale-hunt door-openers · CEO + 2 senior execs per franchisor</w:t>
            </w:r>
          </w:p>
        </w:tc>
      </w:tr>
      <w:tr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Track 2 sub-brands (85 brands × 1 coin each — across all 9 T1 franchisors)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Brand president recognition · day-in-the-life outreach</w:t>
            </w:r>
          </w:p>
        </w:tc>
      </w:tr>
      <w:tr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 sponsors of T1 franchisors (8 firms × 2 coins each — KKR, Apax, MidOcean, Trivium/Contrarian, Princeton Equity, Roark, American Securities, Riverside)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 relationship building · operating partner + senior partner per firm</w:t>
            </w:r>
          </w:p>
        </w:tc>
      </w:tr>
      <w:tr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Accel-KKR partners and operating team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 sponsor relationship building</w:t>
            </w:r>
          </w:p>
        </w:tc>
      </w:tr>
      <w:tr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GPS Insight &amp; ServiceBridge team (executive, board, and core team)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alignment, team gift, morale</w:t>
            </w:r>
          </w:p>
        </w:tc>
      </w:tr>
      <w:tr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 (re-orders, replacements, future opportunities)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Buffer</w:t>
            </w:r>
          </w:p>
        </w:tc>
      </w:tr>
      <w:tr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D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D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DC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2B3C"/>
          <w:sz w:val="30"/>
          <w:szCs w:val="30"/>
        </w:rPr>
        <w:t xml:space="preserve">5. Action Items Before Order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Mike and Becky agree on a formal campaign centered around the America 250 theme — with the challenge coin as the bond of the meaning and the campaign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Confirm we are following the GPS Insight brand guidelines on logo use, 3-dot signature placement, and co-branding standards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Andrea Rowan and Garrett Else sign-off on ServiceBridge wordmark, taglines, and the full coin design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Lock the final SVG / vector art file for vendor handoff (artist will redraw in production format)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Request final quotes from 3 vendors: All About Challenge Coins (preferred — prior relationship), ChallengeCoins4Less, and MetalPromo (competitive cross-quotes)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a desk display stand option to both quotes — acrylic coin capsule + wood or metal base for desk presentation (typically $2–$5 per stand). Worth pricing as an upgrade for the VIP cohort (T1 franchisor CEOs, PE partners, Accel-KKR, GPS Insight &amp; ServiceBridge leadership)</w:t>
      </w:r>
    </w:p>
    <w:p>
      <w:pPr>
        <w:spacing w:after="240"/>
      </w:pPr>
      <w:r>
        <w:t xml:space="preserv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2B3C"/>
          <w:sz w:val="30"/>
          <w:szCs w:val="30"/>
        </w:rPr>
        <w:t xml:space="preserve">6. Recommendation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Lead vendor: All About Challenge Coins.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Mike has prior production experience with this vendor — a proven relationship outweighs marginal price differences at this volume. Estimated $3.50–$4.50 per coin for 500 units = $1,750–$2,250 total, plus optional VIP velvet box upgrade. They offer both overseas (10–14 day lead time) and American-made die-struck production for federal or PE-sensitive distribution.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Backup vendors: ChallengeCoins4Less and MetalPromo.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ChallengeCoins4Less is a strong industry leader with US-based service, free design with unlimited revisions, free US shipping, and 14–17 day lead time. MetalPromo brings 15+ years of experience with 24-hour quote turnaround. Both serve as competitive cross-checks on the All About Challenge Coins quote.</w:t>
      </w:r>
    </w:p>
    <w:p>
      <w:pPr>
        <w:spacing w:after="24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Recommended approach: Submit identical RFQ to all 3 vendors this week. Lead vendor (All About Challenge Coins) wins on existing relationship unless quote variance exceeds ~15%. Lock vendor by end of week with target delivery before July 4, 2026 (America 250 national event).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2B3C" w:sz="6" w:space="4"/>
      </w:pBdr>
      <w:spacing w:after="160" w:before="240"/>
      <w:outlineLvl w:val="0"/>
    </w:pPr>
    <w:rPr>
      <w:rFonts w:ascii="Arial" w:cs="Arial" w:eastAsia="Arial" w:hAnsi="Arial"/>
      <w:b/>
      <w:bCs/>
      <w:color w:val="1A2B3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8640ef0bb7411acc4075a4f1cde4268df6d63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America 250 Challenge Coin — Vendor Sourcing</dc:title>
  <dc:creator>Velocity GTM Co</dc:creator>
  <cp:lastModifiedBy>Un-named</cp:lastModifiedBy>
  <cp:revision>1</cp:revision>
  <dcterms:created xsi:type="dcterms:W3CDTF">2026-05-11T15:49:47.122Z</dcterms:created>
  <dcterms:modified xsi:type="dcterms:W3CDTF">2026-05-11T15:49:47.122Z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