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A2B3C"/>
          <w:sz w:val="30"/>
          <w:szCs w:val="30"/>
        </w:rPr>
        <w:t xml:space="preserve">Track 1 P1+P2 Franchisor Priority Matrix</w:t>
      </w:r>
    </w:p>
    <w:p>
      <w:pPr>
        <w:spacing w:after="60"/>
        <w:jc w:val="center"/>
      </w:pPr>
      <w:r>
        <w:rPr>
          <w:b/>
          <w:bCs/>
          <w:color w:val="185FA5"/>
          <w:sz w:val="18"/>
          <w:szCs w:val="18"/>
        </w:rPr>
        <w:t xml:space="preserve">9 Priority Targets · Sized by Engageable Techs (excluding confirmed competitive FSM mandates)</w:t>
      </w:r>
    </w:p>
    <w:p>
      <w:pPr>
        <w:spacing w:after="100"/>
        <w:jc w:val="center"/>
      </w:pPr>
      <w:r>
        <w:rPr>
          <w:i/>
          <w:iCs/>
          <w:color w:val="6B7A8B"/>
          <w:sz w:val="13"/>
          <w:szCs w:val="13"/>
        </w:rPr>
        <w:t xml:space="preserve">Built from CRM v15.6 · v2 · 32,884 P1 engageable techs of 44,961 total · $987K P1 Y1@10% · April 30, 2026</w:t>
      </w:r>
    </w:p>
    <w:p>
      <w:pPr>
        <w:spacing w:after="40" w:before="40"/>
      </w:pPr>
      <w:r>
        <w:t xml:space="preserve"/>
      </w:r>
    </w:p>
    <w:tbl>
      <w:tblPr>
        <w:tblW w:type="dxa" w:w="11160"/>
        <w:tblBorders>
          <w:top w:val="single" w:color="E8D89C" w:sz="6"/>
          <w:left w:val="single" w:color="E8D89C" w:sz="6"/>
          <w:bottom w:val="single" w:color="E8D89C" w:sz="6"/>
          <w:right w:val="single" w:color="E8D89C" w:sz="6"/>
          <w:insideH w:val="single" w:color="auto" w:sz="4"/>
          <w:insideV w:val="single" w:color="auto" w:sz="4"/>
        </w:tblBorders>
      </w:tblPr>
      <w:tblGrid>
        <w:gridCol w:w="11160"/>
      </w:tblGrid>
      <w:tr>
        <w:tc>
          <w:tcPr>
            <w:tcW w:type="dxa" w:w="11160"/>
            <w:shd w:fill="FBF4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A2B3C"/>
                <w:sz w:val="16"/>
                <w:szCs w:val="16"/>
              </w:rPr>
              <w:t xml:space="preserve">How this Track 1 Priority Matrix works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Track 1 enterprise mandate pipeline. 7 P1 franchisors ranked by V2 score (76.5 → 44.0). 3 P2 franchisors as "existing footprint" set — engagement strategy is conversion of de facto SB adoption into formal mandate, not greenfield acquisition.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Engageable techs: total network minus brands with CONFIRMED competitive FSM mandate. Neighborly has 7,417 techs locked behind ServiceTitan mandate (since 2012); Authority has 4,660 locked behind 2024 ST partnership (BFP/Sparky/One Hour). All other brands count as engageable until a mandate is confirmed — burden of proof is on exclusion.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Y1@10% recalculated using engageable techs × 10% × $300/tech/yr ServiceBridge pricing — a more honest size-of-prize estimate. P1 engageable total $987K (was $1,349K total). Empower (100% engageable) becomes the largest single Y1@10% target despite lower V2 score.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1160"/>
        <w:tblBorders>
          <w:top w:val="single" w:color="D0D5DD" w:sz="6"/>
          <w:left w:val="single" w:color="D0D5DD" w:sz="6"/>
          <w:bottom w:val="single" w:color="D0D5DD" w:sz="6"/>
          <w:right w:val="single" w:color="D0D5DD" w:sz="6"/>
          <w:insideH w:val="single" w:color="auto" w:sz="4"/>
          <w:insideV w:val="single" w:color="auto" w:sz="4"/>
        </w:tblBorders>
      </w:tblPr>
      <w:tblGrid>
        <w:gridCol w:w="11160"/>
      </w:tblGrid>
      <w:tr>
        <w:tc>
          <w:tcPr>
            <w:tcW w:type="dxa" w:w="11160"/>
            <w:shd w:fill="F5F6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A2B3C"/>
                <w:sz w:val="16"/>
                <w:szCs w:val="16"/>
              </w:rPr>
              <w:t xml:space="preserve">Strategic posture: greenfield-first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Competitive displacement remains an active engagement track — we will continue to build mandate-displacement pathways at Neighborly (KKR warm path via Charles → Accel-KKR) and Authority Brands (timing window with new CEO/CFO &lt; 1 year in role, post-2024 ST partnership). Those are multi-year strategic plays.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For Year 1 ARR, the franchisors with highest greenfield availability — combined with strong V2 scoring on Network, PE, DM Access, and Urgency — are the best move. That points to Empower, ResiBrands, BELFOR (P2 conversion), and Threshold (Riverside coordination) as the pipeline velocity targets.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Displacement work continues in parallel but is sized correctly: long-cycle, high-leverage, contingent on PE timing and incumbent contract expiration. Greenfield work compounds quarterly. Both run together; greenfield carries the near-term revenue.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85FA5" w:sz="6" w:space="1"/>
        </w:pBdr>
        <w:spacing w:after="160"/>
      </w:pPr>
      <w:r>
        <w:t xml:space="preserve"/>
      </w:r>
    </w:p>
    <w:p>
      <w:pPr>
        <w:spacing w:after="100" w:before="160"/>
      </w:pPr>
      <w:r>
        <w:rPr>
          <w:b/>
          <w:bCs/>
          <w:color w:val="1A2B3C"/>
          <w:sz w:val="20"/>
          <w:szCs w:val="20"/>
        </w:rPr>
        <w:t xml:space="preserve">🎯  9 Priority Targets · Sized by V2 Score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1400"/>
        <w:gridCol w:w="540"/>
        <w:gridCol w:w="540"/>
        <w:gridCol w:w="600"/>
        <w:gridCol w:w="600"/>
        <w:gridCol w:w="600"/>
        <w:gridCol w:w="1200"/>
        <w:gridCol w:w="800"/>
        <w:gridCol w:w="3070"/>
        <w:gridCol w:w="480"/>
        <w:gridCol w:w="1010"/>
      </w:tblGrid>
      <w:tr>
        <w:trPr>
          <w:tblHeader/>
        </w:trPr>
        <w:tc>
          <w:tcPr>
            <w:tcW w:type="dxa" w:w="320"/>
            <w:tcBorders>
              <w:top w:val="single" w:color="1A2B3C" w:sz="4"/>
              <w:left w:val="single" w:color="1A2B3C" w:sz="4"/>
              <w:bottom w:val="single" w:color="1A2B3C" w:sz="4"/>
              <w:right w:val="single" w:color="1A2B3C" w:sz="4"/>
            </w:tcBorders>
            <w:shd w:fill="1A2B3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"/>
                <w:sz w:val="9"/>
                <w:szCs w:val="9"/>
              </w:rPr>
              <w:t xml:space="preserve">#</w:t>
            </w:r>
          </w:p>
        </w:tc>
        <w:tc>
          <w:tcPr>
            <w:tcW w:type="dxa" w:w="1400"/>
            <w:tcBorders>
              <w:top w:val="single" w:color="1A2B3C" w:sz="4"/>
              <w:left w:val="single" w:color="1A2B3C" w:sz="4"/>
              <w:bottom w:val="single" w:color="1A2B3C" w:sz="4"/>
              <w:right w:val="single" w:color="1A2B3C" w:sz="4"/>
            </w:tcBorders>
            <w:shd w:fill="1A2B3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pacing w:val="20"/>
                <w:sz w:val="9"/>
                <w:szCs w:val="9"/>
              </w:rPr>
              <w:t xml:space="preserve">FRANCHISOR</w:t>
            </w:r>
          </w:p>
        </w:tc>
        <w:tc>
          <w:tcPr>
            <w:tcW w:type="dxa" w:w="540"/>
            <w:tcBorders>
              <w:top w:val="single" w:color="1A2B3C" w:sz="4"/>
              <w:left w:val="single" w:color="1A2B3C" w:sz="4"/>
              <w:bottom w:val="single" w:color="1A2B3C" w:sz="4"/>
              <w:right w:val="single" w:color="1A2B3C" w:sz="4"/>
            </w:tcBorders>
            <w:shd w:fill="1A2B3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"/>
                <w:sz w:val="9"/>
                <w:szCs w:val="9"/>
              </w:rPr>
              <w:t xml:space="preserve">SCORE</w:t>
            </w:r>
          </w:p>
        </w:tc>
        <w:tc>
          <w:tcPr>
            <w:tcW w:type="dxa" w:w="540"/>
            <w:tcBorders>
              <w:top w:val="single" w:color="1A2B3C" w:sz="4"/>
              <w:left w:val="single" w:color="1A2B3C" w:sz="4"/>
              <w:bottom w:val="single" w:color="1A2B3C" w:sz="4"/>
              <w:right w:val="single" w:color="1A2B3C" w:sz="4"/>
            </w:tcBorders>
            <w:shd w:fill="1A2B3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"/>
                <w:sz w:val="9"/>
                <w:szCs w:val="9"/>
              </w:rPr>
              <w:t xml:space="preserve">LOCS</w:t>
            </w:r>
          </w:p>
        </w:tc>
        <w:tc>
          <w:tcPr>
            <w:tcW w:type="dxa" w:w="600"/>
            <w:tcBorders>
              <w:top w:val="single" w:color="1A2B3C" w:sz="4"/>
              <w:left w:val="single" w:color="1A2B3C" w:sz="4"/>
              <w:bottom w:val="single" w:color="1A2B3C" w:sz="4"/>
              <w:right w:val="single" w:color="1A2B3C" w:sz="4"/>
            </w:tcBorders>
            <w:shd w:fill="1A2B3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"/>
                <w:sz w:val="9"/>
                <w:szCs w:val="9"/>
              </w:rPr>
              <w:t xml:space="preserve">TOTAL
TECHS</w:t>
            </w:r>
          </w:p>
        </w:tc>
        <w:tc>
          <w:tcPr>
            <w:tcW w:type="dxa" w:w="600"/>
            <w:tcBorders>
              <w:top w:val="single" w:color="1A2B3C" w:sz="4"/>
              <w:left w:val="single" w:color="1A2B3C" w:sz="4"/>
              <w:bottom w:val="single" w:color="1A2B3C" w:sz="4"/>
              <w:right w:val="single" w:color="1A2B3C" w:sz="4"/>
            </w:tcBorders>
            <w:shd w:fill="1A2B3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"/>
                <w:sz w:val="9"/>
                <w:szCs w:val="9"/>
              </w:rPr>
              <w:t xml:space="preserve">ENG
TECHS</w:t>
            </w:r>
          </w:p>
        </w:tc>
        <w:tc>
          <w:tcPr>
            <w:tcW w:type="dxa" w:w="600"/>
            <w:tcBorders>
              <w:top w:val="single" w:color="1A2B3C" w:sz="4"/>
              <w:left w:val="single" w:color="1A2B3C" w:sz="4"/>
              <w:bottom w:val="single" w:color="1A2B3C" w:sz="4"/>
              <w:right w:val="single" w:color="1A2B3C" w:sz="4"/>
            </w:tcBorders>
            <w:shd w:fill="1A2B3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"/>
                <w:sz w:val="9"/>
                <w:szCs w:val="9"/>
              </w:rPr>
              <w:t xml:space="preserve">Y1@10%</w:t>
            </w:r>
          </w:p>
        </w:tc>
        <w:tc>
          <w:tcPr>
            <w:tcW w:type="dxa" w:w="1200"/>
            <w:tcBorders>
              <w:top w:val="single" w:color="1A2B3C" w:sz="4"/>
              <w:left w:val="single" w:color="1A2B3C" w:sz="4"/>
              <w:bottom w:val="single" w:color="1A2B3C" w:sz="4"/>
              <w:right w:val="single" w:color="1A2B3C" w:sz="4"/>
            </w:tcBorders>
            <w:shd w:fill="1A2B3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pacing w:val="20"/>
                <w:sz w:val="9"/>
                <w:szCs w:val="9"/>
              </w:rPr>
              <w:t xml:space="preserve">CHARACTER</w:t>
            </w:r>
          </w:p>
        </w:tc>
        <w:tc>
          <w:tcPr>
            <w:tcW w:type="dxa" w:w="800"/>
            <w:tcBorders>
              <w:top w:val="single" w:color="1A2B3C" w:sz="4"/>
              <w:left w:val="single" w:color="1A2B3C" w:sz="4"/>
              <w:bottom w:val="single" w:color="1A2B3C" w:sz="4"/>
              <w:right w:val="single" w:color="1A2B3C" w:sz="4"/>
            </w:tcBorders>
            <w:shd w:fill="1A2B3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pacing w:val="20"/>
                <w:sz w:val="9"/>
                <w:szCs w:val="9"/>
              </w:rPr>
              <w:t xml:space="preserve">URGENCY</w:t>
            </w:r>
          </w:p>
        </w:tc>
        <w:tc>
          <w:tcPr>
            <w:tcW w:type="dxa" w:w="3070"/>
            <w:tcBorders>
              <w:top w:val="single" w:color="1A2B3C" w:sz="4"/>
              <w:left w:val="single" w:color="1A2B3C" w:sz="4"/>
              <w:bottom w:val="single" w:color="1A2B3C" w:sz="4"/>
              <w:right w:val="single" w:color="1A2B3C" w:sz="4"/>
            </w:tcBorders>
            <w:shd w:fill="1A2B3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pacing w:val="20"/>
                <w:sz w:val="9"/>
                <w:szCs w:val="9"/>
              </w:rPr>
              <w:t xml:space="preserve">WHY RANKED</w:t>
            </w:r>
          </w:p>
        </w:tc>
        <w:tc>
          <w:tcPr>
            <w:tcW w:type="dxa" w:w="480"/>
            <w:tcBorders>
              <w:top w:val="single" w:color="1A2B3C" w:sz="4"/>
              <w:left w:val="single" w:color="1A2B3C" w:sz="4"/>
              <w:bottom w:val="single" w:color="1A2B3C" w:sz="4"/>
              <w:right w:val="single" w:color="1A2B3C" w:sz="4"/>
            </w:tcBorders>
            <w:shd w:fill="1A2B3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"/>
                <w:sz w:val="9"/>
                <w:szCs w:val="9"/>
              </w:rPr>
              <w:t xml:space="preserve">GPO</w:t>
            </w:r>
          </w:p>
        </w:tc>
        <w:tc>
          <w:tcPr>
            <w:tcW w:type="dxa" w:w="1010"/>
            <w:tcBorders>
              <w:top w:val="single" w:color="1A2B3C" w:sz="4"/>
              <w:left w:val="single" w:color="1A2B3C" w:sz="4"/>
              <w:bottom w:val="single" w:color="1A2B3C" w:sz="4"/>
              <w:right w:val="single" w:color="1A2B3C" w:sz="4"/>
            </w:tcBorders>
            <w:shd w:fill="1A2B3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pacing w:val="20"/>
                <w:sz w:val="9"/>
                <w:szCs w:val="9"/>
              </w:rPr>
              <w:t xml:space="preserve">C/B MIX</w:t>
            </w:r>
          </w:p>
        </w:tc>
      </w:tr>
      <w:tr>
        <w:trPr>
          <w:cantSplit/>
        </w:trPr>
        <w:tc>
          <w:tcPr>
            <w:tcW w:type="dxa" w:w="11160"/>
            <w:gridSpan w:val="12"/>
            <w:tcBorders>
              <w:top w:val="single" w:color="1A2B3C" w:sz="4"/>
              <w:left w:val="single" w:color="1A2B3C" w:sz="4"/>
              <w:bottom w:val="single" w:color="1A2B3C" w:sz="4"/>
              <w:right w:val="single" w:color="1A2B3C" w:sz="4"/>
            </w:tcBorders>
            <w:shd w:fill="1A2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pacing w:val="40"/>
                <w:sz w:val="12"/>
                <w:szCs w:val="12"/>
              </w:rPr>
              <w:t xml:space="preserve">P1 FRANCHISORS</w:t>
            </w:r>
            <w:r>
              <w:rPr>
                <w:i/>
                <w:iCs/>
                <w:color w:val="FFFFFF"/>
                <w:sz w:val="11"/>
                <w:szCs w:val="11"/>
              </w:rPr>
              <w:t xml:space="preserve">  ·  TRACK 1 STRATEGIC PIPELINE  ·  Sized by V2 ranking</w:t>
            </w:r>
          </w:p>
        </w:tc>
      </w:tr>
      <w:tr>
        <w:trPr>
          <w:cantSplit/>
        </w:trPr>
        <w:tc>
          <w:tcPr>
            <w:tcW w:type="dxa" w:w="3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1"/>
                <w:szCs w:val="11"/>
              </w:rPr>
              <w:t xml:space="preserve">1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2B3C"/>
                <w:sz w:val="11"/>
                <w:szCs w:val="11"/>
              </w:rPr>
              <w:t xml:space="preserve">NEIGHBORLY</w:t>
            </w:r>
          </w:p>
        </w:tc>
        <w:tc>
          <w:tcPr>
            <w:tcW w:type="dxa" w:w="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2"/>
                <w:szCs w:val="12"/>
              </w:rPr>
              <w:t xml:space="preserve">76.5</w:t>
            </w:r>
          </w:p>
        </w:tc>
        <w:tc>
          <w:tcPr>
            <w:tcW w:type="dxa" w:w="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10"/>
                <w:szCs w:val="10"/>
              </w:rPr>
              <w:t xml:space="preserve">3,864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10"/>
                <w:szCs w:val="10"/>
              </w:rPr>
              <w:t xml:space="preserve">14,701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4E5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8501F"/>
                <w:sz w:val="11"/>
                <w:szCs w:val="11"/>
              </w:rPr>
              <w:t xml:space="preserve">7,284</w:t>
            </w:r>
          </w:p>
          <w:p>
            <w:pPr>
              <w:jc w:val="center"/>
            </w:pPr>
            <w:r>
              <w:rPr>
                <w:color w:val="C8501F"/>
                <w:sz w:val="8"/>
                <w:szCs w:val="8"/>
              </w:rPr>
              <w:t xml:space="preserve">(50%)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0"/>
                <w:szCs w:val="10"/>
              </w:rPr>
              <w:t xml:space="preserve">$219K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8B000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"/>
                <w:sz w:val="9"/>
                <w:szCs w:val="9"/>
              </w:rPr>
              <w:t xml:space="preserve">PE-GATED</w:t>
            </w:r>
          </w:p>
        </w:tc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9"/>
                <w:szCs w:val="9"/>
              </w:rPr>
              <w:t xml:space="preserve">95/100  IMMEDIATE</w:t>
            </w:r>
          </w:p>
        </w:tc>
        <w:tc>
          <w:tcPr>
            <w:tcW w:type="dxa" w:w="30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9"/>
                <w:szCs w:val="9"/>
              </w:rPr>
              <w:t xml:space="preserve">Largest total network in P1 (14,701 techs) but 7,417 techs locked behind confirmed ServiceTitan mandate (Aire Serv, Mr. Electric, Mr. Rooter, Mr. Appliance, Mr. Handyman, Glass Doctor — since 2012). Engageable opportunity is 7,284 techs (50%). KKR exit window 2026-27 — Charles → Accel-KKR → KKR warm path. ⚠️ DO NOT APPROACH DIRECT.</w:t>
            </w:r>
          </w:p>
        </w:tc>
        <w:tc>
          <w:tcPr>
            <w:tcW w:type="dxa" w:w="4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3DE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500A"/>
                <w:sz w:val="10"/>
                <w:szCs w:val="10"/>
              </w:rPr>
              <w:t xml:space="preserve">Yes</w:t>
            </w:r>
          </w:p>
        </w:tc>
        <w:tc>
          <w:tcPr>
            <w:tcW w:type="dxa" w:w="10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BF5FB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B3D6B"/>
                <w:sz w:val="9"/>
                <w:szCs w:val="9"/>
              </w:rPr>
              <w:t xml:space="preserve">Consumer 80%</w:t>
            </w:r>
          </w:p>
        </w:tc>
      </w:tr>
      <w:tr>
        <w:trPr>
          <w:cantSplit/>
        </w:trPr>
        <w:tc>
          <w:tcPr>
            <w:tcW w:type="dxa" w:w="3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1"/>
                <w:szCs w:val="11"/>
              </w:rPr>
              <w:t xml:space="preserve">2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2B3C"/>
                <w:sz w:val="11"/>
                <w:szCs w:val="11"/>
              </w:rPr>
              <w:t xml:space="preserve">AUTHORITY BRANDS</w:t>
            </w:r>
          </w:p>
        </w:tc>
        <w:tc>
          <w:tcPr>
            <w:tcW w:type="dxa" w:w="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2"/>
                <w:szCs w:val="12"/>
              </w:rPr>
              <w:t xml:space="preserve">68.5</w:t>
            </w:r>
          </w:p>
        </w:tc>
        <w:tc>
          <w:tcPr>
            <w:tcW w:type="dxa" w:w="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10"/>
                <w:szCs w:val="10"/>
              </w:rPr>
              <w:t xml:space="preserve">2,407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10"/>
                <w:szCs w:val="10"/>
              </w:rPr>
              <w:t xml:space="preserve">10,160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4E5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8501F"/>
                <w:sz w:val="11"/>
                <w:szCs w:val="11"/>
              </w:rPr>
              <w:t xml:space="preserve">5,500</w:t>
            </w:r>
          </w:p>
          <w:p>
            <w:pPr>
              <w:jc w:val="center"/>
            </w:pPr>
            <w:r>
              <w:rPr>
                <w:color w:val="C8501F"/>
                <w:sz w:val="8"/>
                <w:szCs w:val="8"/>
              </w:rPr>
              <w:t xml:space="preserve">(54%)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0"/>
                <w:szCs w:val="10"/>
              </w:rPr>
              <w:t xml:space="preserve">$165K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C8501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"/>
                <w:sz w:val="9"/>
                <w:szCs w:val="9"/>
              </w:rPr>
              <w:t xml:space="preserve">DISPLACEMENT-READY</w:t>
            </w:r>
          </w:p>
        </w:tc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9"/>
                <w:szCs w:val="9"/>
              </w:rPr>
              <w:t xml:space="preserve">85/100  NEAR-TERM</w:t>
            </w:r>
          </w:p>
        </w:tc>
        <w:tc>
          <w:tcPr>
            <w:tcW w:type="dxa" w:w="30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9"/>
                <w:szCs w:val="9"/>
              </w:rPr>
              <w:t xml:space="preserve">4,660 techs locked behind confirmed 2024 ServiceTitan partnership (Benjamin Franklin, Mister Sparky, One Hour H&amp;A). Engageable is 5,500 techs across the other 9 brands. New CEO Jay Caiafa (Aug 2025) + new CFO Josh Greear (Sept 2025) both &lt;1 yr in role. BuyMax GPO active.</w:t>
            </w:r>
          </w:p>
        </w:tc>
        <w:tc>
          <w:tcPr>
            <w:tcW w:type="dxa" w:w="4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3DE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500A"/>
                <w:sz w:val="10"/>
                <w:szCs w:val="10"/>
              </w:rPr>
              <w:t xml:space="preserve">Yes</w:t>
            </w:r>
          </w:p>
        </w:tc>
        <w:tc>
          <w:tcPr>
            <w:tcW w:type="dxa" w:w="10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BF5FB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B3D6B"/>
                <w:sz w:val="9"/>
                <w:szCs w:val="9"/>
              </w:rPr>
              <w:t xml:space="preserve">Consumer 90%</w:t>
            </w:r>
          </w:p>
        </w:tc>
      </w:tr>
      <w:tr>
        <w:trPr>
          <w:cantSplit/>
        </w:trPr>
        <w:tc>
          <w:tcPr>
            <w:tcW w:type="dxa" w:w="3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1"/>
                <w:szCs w:val="11"/>
              </w:rPr>
              <w:t xml:space="preserve">3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2B3C"/>
                <w:sz w:val="11"/>
                <w:szCs w:val="11"/>
              </w:rPr>
              <w:t xml:space="preserve">EMPOWER BRANDS</w:t>
            </w:r>
          </w:p>
        </w:tc>
        <w:tc>
          <w:tcPr>
            <w:tcW w:type="dxa" w:w="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2"/>
                <w:szCs w:val="12"/>
              </w:rPr>
              <w:t xml:space="preserve">66.2</w:t>
            </w:r>
          </w:p>
        </w:tc>
        <w:tc>
          <w:tcPr>
            <w:tcW w:type="dxa" w:w="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10"/>
                <w:szCs w:val="10"/>
              </w:rPr>
              <w:t xml:space="preserve">1,950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10"/>
                <w:szCs w:val="10"/>
              </w:rPr>
              <w:t xml:space="preserve">7,750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7,750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0"/>
                <w:szCs w:val="10"/>
              </w:rPr>
              <w:t xml:space="preserve">$233K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5F2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"/>
                <w:sz w:val="9"/>
                <w:szCs w:val="9"/>
              </w:rPr>
              <w:t xml:space="preserve">GREENFIELD-LED</w:t>
            </w:r>
          </w:p>
        </w:tc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9"/>
                <w:szCs w:val="9"/>
              </w:rPr>
              <w:t xml:space="preserve">60/100  MID-TERM</w:t>
            </w:r>
          </w:p>
        </w:tc>
        <w:tc>
          <w:tcPr>
            <w:tcW w:type="dxa" w:w="30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9"/>
                <w:szCs w:val="9"/>
              </w:rPr>
              <w:t xml:space="preserve">Strongest greenfield in P1 (90/100 raw) — 100% engageable, no confirmed competitive FSM mandates anywhere in portfolio. MidOcean Year 3-4, building toward exit. JAN-PRO alone = 4,000 techs. Scott Marr cohort (Bumble/Wallaby/Canopy/Koala) is the wedge. By engageable techs, Empower is the largest opportunity in P1.</w:t>
            </w:r>
          </w:p>
        </w:tc>
        <w:tc>
          <w:tcPr>
            <w:tcW w:type="dxa" w:w="4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CEBEB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01313"/>
                <w:sz w:val="10"/>
                <w:szCs w:val="10"/>
              </w:rPr>
              <w:t xml:space="preserve">No</w:t>
            </w:r>
          </w:p>
        </w:tc>
        <w:tc>
          <w:tcPr>
            <w:tcW w:type="dxa" w:w="10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AEE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33806"/>
                <w:sz w:val="9"/>
                <w:szCs w:val="9"/>
              </w:rPr>
              <w:t xml:space="preserve">Commercial 70%</w:t>
            </w:r>
          </w:p>
        </w:tc>
      </w:tr>
      <w:tr>
        <w:trPr>
          <w:cantSplit/>
        </w:trPr>
        <w:tc>
          <w:tcPr>
            <w:tcW w:type="dxa" w:w="3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1"/>
                <w:szCs w:val="11"/>
              </w:rPr>
              <w:t xml:space="preserve">4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2B3C"/>
                <w:sz w:val="11"/>
                <w:szCs w:val="11"/>
              </w:rPr>
              <w:t xml:space="preserve">RESIBRANDS</w:t>
            </w:r>
          </w:p>
        </w:tc>
        <w:tc>
          <w:tcPr>
            <w:tcW w:type="dxa" w:w="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2"/>
                <w:szCs w:val="12"/>
              </w:rPr>
              <w:t xml:space="preserve">60.2</w:t>
            </w:r>
          </w:p>
        </w:tc>
        <w:tc>
          <w:tcPr>
            <w:tcW w:type="dxa" w:w="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10"/>
                <w:szCs w:val="10"/>
              </w:rPr>
              <w:t xml:space="preserve">900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10"/>
                <w:szCs w:val="10"/>
              </w:rPr>
              <w:t xml:space="preserve">3,450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3,450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0"/>
                <w:szCs w:val="10"/>
              </w:rPr>
              <w:t xml:space="preserve">$104K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"/>
                <w:sz w:val="9"/>
                <w:szCs w:val="9"/>
              </w:rPr>
              <w:t xml:space="preserve">FAST-CYCLE</w:t>
            </w:r>
          </w:p>
        </w:tc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9"/>
                <w:szCs w:val="9"/>
              </w:rPr>
              <w:t xml:space="preserve">75/100  ENTREPRENEURIAL</w:t>
            </w:r>
          </w:p>
        </w:tc>
        <w:tc>
          <w:tcPr>
            <w:tcW w:type="dxa" w:w="30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9"/>
                <w:szCs w:val="9"/>
              </w:rPr>
              <w:t xml:space="preserve">100% engageable — no competitive FSM mandates. Founder direct (Kevin Luu). ResiConnect = scheduling only, paper for ops. Fastest decision velocity in P1. Smallest network but Codie Sanchez angel/visibility play. Newest brand 2025 (Monty's Handyman) is pure greenfield.</w:t>
            </w:r>
          </w:p>
        </w:tc>
        <w:tc>
          <w:tcPr>
            <w:tcW w:type="dxa" w:w="4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CEBEB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01313"/>
                <w:sz w:val="10"/>
                <w:szCs w:val="10"/>
              </w:rPr>
              <w:t xml:space="preserve">No</w:t>
            </w:r>
          </w:p>
        </w:tc>
        <w:tc>
          <w:tcPr>
            <w:tcW w:type="dxa" w:w="10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BF5FB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B3D6B"/>
                <w:sz w:val="9"/>
                <w:szCs w:val="9"/>
              </w:rPr>
              <w:t xml:space="preserve">Consumer 95%</w:t>
            </w:r>
          </w:p>
        </w:tc>
      </w:tr>
      <w:tr>
        <w:trPr>
          <w:cantSplit/>
        </w:trPr>
        <w:tc>
          <w:tcPr>
            <w:tcW w:type="dxa" w:w="3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1"/>
                <w:szCs w:val="11"/>
              </w:rPr>
              <w:t xml:space="preserve">5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2B3C"/>
                <w:sz w:val="11"/>
                <w:szCs w:val="11"/>
              </w:rPr>
              <w:t xml:space="preserve">FIVE STAR FRANCHISING</w:t>
            </w:r>
          </w:p>
        </w:tc>
        <w:tc>
          <w:tcPr>
            <w:tcW w:type="dxa" w:w="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2"/>
                <w:szCs w:val="12"/>
              </w:rPr>
              <w:t xml:space="preserve">59.2</w:t>
            </w:r>
          </w:p>
        </w:tc>
        <w:tc>
          <w:tcPr>
            <w:tcW w:type="dxa" w:w="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10"/>
                <w:szCs w:val="10"/>
              </w:rPr>
              <w:t xml:space="preserve">650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10"/>
                <w:szCs w:val="10"/>
              </w:rPr>
              <w:t xml:space="preserve">2,300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2,300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0"/>
                <w:szCs w:val="10"/>
              </w:rPr>
              <w:t xml:space="preserve">$69K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5D3A8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"/>
                <w:sz w:val="9"/>
                <w:szCs w:val="9"/>
              </w:rPr>
              <w:t xml:space="preserve">WEDGE-BRAND</w:t>
            </w:r>
          </w:p>
        </w:tc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9"/>
                <w:szCs w:val="9"/>
              </w:rPr>
              <w:t xml:space="preserve">60/100  MID-TERM</w:t>
            </w:r>
          </w:p>
        </w:tc>
        <w:tc>
          <w:tcPr>
            <w:tcW w:type="dxa" w:w="30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9"/>
                <w:szCs w:val="9"/>
              </w:rPr>
              <w:t xml:space="preserve">100% engageable. Mosquito Shield is the wedge to Five Star CEO Scott Abbott. Princeton Equity Group. GPSI overlap exists. 1-800-Packouts at score 89 is the strongest single brand. Smaller total network but coordinated entry via buying group.</w:t>
            </w:r>
          </w:p>
        </w:tc>
        <w:tc>
          <w:tcPr>
            <w:tcW w:type="dxa" w:w="4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3DE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500A"/>
                <w:sz w:val="10"/>
                <w:szCs w:val="10"/>
              </w:rPr>
              <w:t xml:space="preserve">Yes</w:t>
            </w:r>
          </w:p>
        </w:tc>
        <w:tc>
          <w:tcPr>
            <w:tcW w:type="dxa" w:w="10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BF5FB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B3D6B"/>
                <w:sz w:val="9"/>
                <w:szCs w:val="9"/>
              </w:rPr>
              <w:t xml:space="preserve">Consumer 85%</w:t>
            </w:r>
          </w:p>
        </w:tc>
      </w:tr>
      <w:tr>
        <w:trPr>
          <w:cantSplit/>
        </w:trPr>
        <w:tc>
          <w:tcPr>
            <w:tcW w:type="dxa" w:w="3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1"/>
                <w:szCs w:val="11"/>
              </w:rPr>
              <w:t xml:space="preserve">6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2B3C"/>
                <w:sz w:val="11"/>
                <w:szCs w:val="11"/>
              </w:rPr>
              <w:t xml:space="preserve">PREMIUM SERVICE BRANDS</w:t>
            </w:r>
          </w:p>
        </w:tc>
        <w:tc>
          <w:tcPr>
            <w:tcW w:type="dxa" w:w="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2"/>
                <w:szCs w:val="12"/>
              </w:rPr>
              <w:t xml:space="preserve">59.0</w:t>
            </w:r>
          </w:p>
        </w:tc>
        <w:tc>
          <w:tcPr>
            <w:tcW w:type="dxa" w:w="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10"/>
                <w:szCs w:val="10"/>
              </w:rPr>
              <w:t xml:space="preserve">1,300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10"/>
                <w:szCs w:val="10"/>
              </w:rPr>
              <w:t xml:space="preserve">4,950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4,950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0"/>
                <w:szCs w:val="10"/>
              </w:rPr>
              <w:t xml:space="preserve">$149K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8A6D0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"/>
                <w:sz w:val="9"/>
                <w:szCs w:val="9"/>
              </w:rPr>
              <w:t xml:space="preserve">GREENFIELD-OPEN</w:t>
            </w:r>
          </w:p>
        </w:tc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9"/>
                <w:szCs w:val="9"/>
              </w:rPr>
              <w:t xml:space="preserve">50/100  MID-TERM</w:t>
            </w:r>
          </w:p>
        </w:tc>
        <w:tc>
          <w:tcPr>
            <w:tcW w:type="dxa" w:w="30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9"/>
                <w:szCs w:val="9"/>
              </w:rPr>
              <w:t xml:space="preserve">100% engageable. RooterMan dominates 720-750 of PSB network (paper-based). Susquehanna Private Capital — less active than Apax/MidOcean. Paul Flick CEO, warm path to verify. 8 brands, mostly mid-tier scoring (60s).</w:t>
            </w:r>
          </w:p>
        </w:tc>
        <w:tc>
          <w:tcPr>
            <w:tcW w:type="dxa" w:w="4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CEBEB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01313"/>
                <w:sz w:val="10"/>
                <w:szCs w:val="10"/>
              </w:rPr>
              <w:t xml:space="preserve">No</w:t>
            </w:r>
          </w:p>
        </w:tc>
        <w:tc>
          <w:tcPr>
            <w:tcW w:type="dxa" w:w="10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BF5FB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B3D6B"/>
                <w:sz w:val="9"/>
                <w:szCs w:val="9"/>
              </w:rPr>
              <w:t xml:space="preserve">Consumer 85%</w:t>
            </w:r>
          </w:p>
        </w:tc>
      </w:tr>
      <w:tr>
        <w:trPr>
          <w:cantSplit/>
        </w:trPr>
        <w:tc>
          <w:tcPr>
            <w:tcW w:type="dxa" w:w="3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1"/>
                <w:szCs w:val="11"/>
              </w:rPr>
              <w:t xml:space="preserve">7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2B3C"/>
                <w:sz w:val="11"/>
                <w:szCs w:val="11"/>
              </w:rPr>
              <w:t xml:space="preserve">HOMEFRONT BRANDS</w:t>
            </w:r>
          </w:p>
        </w:tc>
        <w:tc>
          <w:tcPr>
            <w:tcW w:type="dxa" w:w="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2"/>
                <w:szCs w:val="12"/>
              </w:rPr>
              <w:t xml:space="preserve">44.0</w:t>
            </w:r>
          </w:p>
        </w:tc>
        <w:tc>
          <w:tcPr>
            <w:tcW w:type="dxa" w:w="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10"/>
                <w:szCs w:val="10"/>
              </w:rPr>
              <w:t xml:space="preserve">400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10"/>
                <w:szCs w:val="10"/>
              </w:rPr>
              <w:t xml:space="preserve">1,650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1,650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0"/>
                <w:szCs w:val="10"/>
              </w:rPr>
              <w:t xml:space="preserve">$50K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6B7A8B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"/>
                <w:sz w:val="9"/>
                <w:szCs w:val="9"/>
              </w:rPr>
              <w:t xml:space="preserve">MONITOR-MODE</w:t>
            </w:r>
          </w:p>
        </w:tc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9"/>
                <w:szCs w:val="9"/>
              </w:rPr>
              <w:t xml:space="preserve">30/100  LONG-CYCLE</w:t>
            </w:r>
          </w:p>
        </w:tc>
        <w:tc>
          <w:tcPr>
            <w:tcW w:type="dxa" w:w="30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9"/>
                <w:szCs w:val="9"/>
              </w:rPr>
              <w:t xml:space="preserve">100% engageable. Family office (Dudan Group) — no PE exit pressure. Newer/smaller platform. Q3/Q4 2026 reassessment posture. Tyler Kirk (Window Hero) and Jeff/Zack Dudan are warm contacts. Smallest of P1 — monitor mode justified.</w:t>
            </w:r>
          </w:p>
        </w:tc>
        <w:tc>
          <w:tcPr>
            <w:tcW w:type="dxa" w:w="4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3DE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500A"/>
                <w:sz w:val="10"/>
                <w:szCs w:val="10"/>
              </w:rPr>
              <w:t xml:space="preserve">Yes</w:t>
            </w:r>
          </w:p>
        </w:tc>
        <w:tc>
          <w:tcPr>
            <w:tcW w:type="dxa" w:w="10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BF5FB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B3D6B"/>
                <w:sz w:val="9"/>
                <w:szCs w:val="9"/>
              </w:rPr>
              <w:t xml:space="preserve">Consumer 50%</w:t>
            </w:r>
          </w:p>
        </w:tc>
      </w:tr>
      <w:tr>
        <w:trPr>
          <w:cantSplit/>
        </w:trPr>
        <w:tc>
          <w:tcPr>
            <w:tcW w:type="dxa" w:w="1720"/>
            <w:gridSpan w:val="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2B3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P1 TOTAL</w:t>
            </w:r>
          </w:p>
        </w:tc>
        <w:tc>
          <w:tcPr>
            <w:tcW w:type="dxa" w:w="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2B3C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1"/>
                <w:szCs w:val="11"/>
              </w:rPr>
              <w:t xml:space="preserve">—</w:t>
            </w:r>
          </w:p>
        </w:tc>
        <w:tc>
          <w:tcPr>
            <w:tcW w:type="dxa" w:w="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2B3C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11,471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2B3C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44,961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2B3C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32,884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2B3C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$987K</w:t>
            </w:r>
          </w:p>
        </w:tc>
        <w:tc>
          <w:tcPr>
            <w:tcW w:type="dxa" w:w="5070"/>
            <w:gridSpan w:val="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2B3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FFFFFF"/>
                <w:sz w:val="10"/>
                <w:szCs w:val="10"/>
              </w:rPr>
              <w:t xml:space="preserve">7 P1 targets · sized by engageable techs · CRM v15.6</w:t>
            </w:r>
          </w:p>
        </w:tc>
        <w:tc>
          <w:tcPr>
            <w:tcW w:type="dxa" w:w="4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2B3C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4 of 7</w:t>
            </w:r>
          </w:p>
        </w:tc>
        <w:tc>
          <w:tcPr>
            <w:tcW w:type="dxa" w:w="10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2B3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9"/>
                <w:szCs w:val="9"/>
              </w:rPr>
              <w:t xml:space="preserve">6 of 7 Consumer</w:t>
            </w:r>
          </w:p>
        </w:tc>
      </w:tr>
      <w:tr>
        <w:trPr>
          <w:cantSplit/>
        </w:trPr>
        <w:tc>
          <w:tcPr>
            <w:tcW w:type="dxa" w:w="11160"/>
            <w:gridSpan w:val="12"/>
            <w:tcBorders>
              <w:top w:val="single" w:color="5D3A8A" w:sz="4"/>
              <w:left w:val="single" w:color="5D3A8A" w:sz="4"/>
              <w:bottom w:val="single" w:color="5D3A8A" w:sz="4"/>
              <w:right w:val="single" w:color="5D3A8A" w:sz="4"/>
            </w:tcBorders>
            <w:shd w:fill="5D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pacing w:val="40"/>
                <w:sz w:val="12"/>
                <w:szCs w:val="12"/>
              </w:rPr>
              <w:t xml:space="preserve">P2 FRANCHISORS</w:t>
            </w:r>
            <w:r>
              <w:rPr>
                <w:i/>
                <w:iCs/>
                <w:color w:val="FFFFFF"/>
                <w:sz w:val="11"/>
                <w:szCs w:val="11"/>
              </w:rPr>
              <w:t xml:space="preserve">  ·  EXISTING FOOTPRINT SET  ·  Conversion strategy, not greenfield acquisition</w:t>
            </w:r>
          </w:p>
        </w:tc>
      </w:tr>
      <w:tr>
        <w:trPr>
          <w:cantSplit/>
        </w:trPr>
        <w:tc>
          <w:tcPr>
            <w:tcW w:type="dxa" w:w="3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0"/>
                <w:szCs w:val="10"/>
              </w:rPr>
              <w:t xml:space="preserve">P2-1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2B3C"/>
                <w:sz w:val="11"/>
                <w:szCs w:val="11"/>
              </w:rPr>
              <w:t xml:space="preserve">BELFOR FRANCHISE GROUP</w:t>
            </w:r>
          </w:p>
        </w:tc>
        <w:tc>
          <w:tcPr>
            <w:tcW w:type="dxa" w:w="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6B7A8B"/>
                <w:sz w:val="10"/>
                <w:szCs w:val="10"/>
              </w:rPr>
              <w:t xml:space="preserve">P2</w:t>
            </w:r>
          </w:p>
        </w:tc>
        <w:tc>
          <w:tcPr>
            <w:tcW w:type="dxa" w:w="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10"/>
                <w:szCs w:val="10"/>
              </w:rPr>
              <w:t xml:space="preserve">1,000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10"/>
                <w:szCs w:val="10"/>
              </w:rPr>
              <w:t xml:space="preserve">4,800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4,800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0"/>
                <w:szCs w:val="10"/>
              </w:rPr>
              <w:t xml:space="preserve">$144K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5F2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"/>
                <w:sz w:val="9"/>
                <w:szCs w:val="9"/>
              </w:rPr>
              <w:t xml:space="preserve">DE-FACTO ANCHOR</w:t>
            </w:r>
          </w:p>
        </w:tc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9"/>
                <w:szCs w:val="9"/>
              </w:rPr>
              <w:t xml:space="preserve">YEAR 6 HOLD</w:t>
            </w:r>
          </w:p>
        </w:tc>
        <w:tc>
          <w:tcPr>
            <w:tcW w:type="dxa" w:w="30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9"/>
                <w:szCs w:val="9"/>
              </w:rPr>
              <w:t xml:space="preserve">100% engageable — no confirmed competitive FSM mandates. American Securities exit window 2026-2027. HOODZ + DUCTZ at 94% SB de facto adoption. 4 brand-corps at T1 (Z Plumberz 113, 1-800 Water Damage 106, Blue Kangaroo Packoutz 106, DUCTZ 103). Strategy: convert de facto into formal mandate before exit.</w:t>
            </w:r>
          </w:p>
        </w:tc>
        <w:tc>
          <w:tcPr>
            <w:tcW w:type="dxa" w:w="4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A4A5C"/>
                <w:sz w:val="10"/>
                <w:szCs w:val="10"/>
              </w:rPr>
              <w:t xml:space="preserve">Internal</w:t>
            </w:r>
          </w:p>
        </w:tc>
        <w:tc>
          <w:tcPr>
            <w:tcW w:type="dxa" w:w="10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AEE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33806"/>
                <w:sz w:val="9"/>
                <w:szCs w:val="9"/>
              </w:rPr>
              <w:t xml:space="preserve">Commercial 55%</w:t>
            </w:r>
          </w:p>
        </w:tc>
      </w:tr>
      <w:tr>
        <w:trPr>
          <w:cantSplit/>
        </w:trPr>
        <w:tc>
          <w:tcPr>
            <w:tcW w:type="dxa" w:w="3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0"/>
                <w:szCs w:val="10"/>
              </w:rPr>
              <w:t xml:space="preserve">P2-2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2B3C"/>
                <w:sz w:val="11"/>
                <w:szCs w:val="11"/>
              </w:rPr>
              <w:t xml:space="preserve">EVIVE BRANDS</w:t>
            </w:r>
          </w:p>
        </w:tc>
        <w:tc>
          <w:tcPr>
            <w:tcW w:type="dxa" w:w="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6B7A8B"/>
                <w:sz w:val="10"/>
                <w:szCs w:val="10"/>
              </w:rPr>
              <w:t xml:space="preserve">P2</w:t>
            </w:r>
          </w:p>
        </w:tc>
        <w:tc>
          <w:tcPr>
            <w:tcW w:type="dxa" w:w="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10"/>
                <w:szCs w:val="10"/>
              </w:rPr>
              <w:t xml:space="preserve">—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10"/>
                <w:szCs w:val="10"/>
              </w:rPr>
              <w:t xml:space="preserve">1,100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1,100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0"/>
                <w:szCs w:val="10"/>
              </w:rPr>
              <w:t xml:space="preserve">$33K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8A6D0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"/>
                <w:sz w:val="9"/>
                <w:szCs w:val="9"/>
              </w:rPr>
              <w:t xml:space="preserve">GROWING ANCHOR</w:t>
            </w:r>
          </w:p>
        </w:tc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9"/>
                <w:szCs w:val="9"/>
              </w:rPr>
              <w:t xml:space="preserve">YEAR 3 HOLD</w:t>
            </w:r>
          </w:p>
        </w:tc>
        <w:tc>
          <w:tcPr>
            <w:tcW w:type="dxa" w:w="30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9"/>
                <w:szCs w:val="9"/>
              </w:rPr>
              <w:t xml:space="preserve">100% engageable. Riverside-owned (formed 2023). Brothers Gutters at 43% SB under new contract — DE-FACTO ANCHOR forming. Maid Brigade (2024 acquisition) greenfield. Ryan Parsons CEO known-friendly. Same parent as Threshold (Riverside) — coordinate engagement.</w:t>
            </w:r>
          </w:p>
        </w:tc>
        <w:tc>
          <w:tcPr>
            <w:tcW w:type="dxa" w:w="4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CEBEB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01313"/>
                <w:sz w:val="10"/>
                <w:szCs w:val="10"/>
              </w:rPr>
              <w:t xml:space="preserve">No</w:t>
            </w:r>
          </w:p>
        </w:tc>
        <w:tc>
          <w:tcPr>
            <w:tcW w:type="dxa" w:w="10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BF5FB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B3D6B"/>
                <w:sz w:val="9"/>
                <w:szCs w:val="9"/>
              </w:rPr>
              <w:t xml:space="preserve">Consumer 70%</w:t>
            </w:r>
          </w:p>
        </w:tc>
      </w:tr>
      <w:tr>
        <w:trPr>
          <w:cantSplit/>
        </w:trPr>
        <w:tc>
          <w:tcPr>
            <w:tcW w:type="dxa" w:w="3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0"/>
                <w:szCs w:val="10"/>
              </w:rPr>
              <w:t xml:space="preserve">P2-3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2B3C"/>
                <w:sz w:val="11"/>
                <w:szCs w:val="11"/>
              </w:rPr>
              <w:t xml:space="preserve">THRESHOLD BRANDS</w:t>
            </w:r>
          </w:p>
        </w:tc>
        <w:tc>
          <w:tcPr>
            <w:tcW w:type="dxa" w:w="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6B7A8B"/>
                <w:sz w:val="10"/>
                <w:szCs w:val="10"/>
              </w:rPr>
              <w:t xml:space="preserve">P2</w:t>
            </w:r>
          </w:p>
        </w:tc>
        <w:tc>
          <w:tcPr>
            <w:tcW w:type="dxa" w:w="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10"/>
                <w:szCs w:val="10"/>
              </w:rPr>
              <w:t xml:space="preserve">1,448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10"/>
                <w:szCs w:val="10"/>
              </w:rPr>
              <w:t xml:space="preserve">5,194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5,494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B3C"/>
                <w:sz w:val="10"/>
                <w:szCs w:val="10"/>
              </w:rPr>
              <w:t xml:space="preserve">$165K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8B000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"/>
                <w:sz w:val="9"/>
                <w:szCs w:val="9"/>
              </w:rPr>
              <w:t xml:space="preserve">AT-RISK ANCHOR</w:t>
            </w:r>
          </w:p>
        </w:tc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9"/>
                <w:szCs w:val="9"/>
              </w:rPr>
              <w:t xml:space="preserve">DEFENSIVE</w:t>
            </w:r>
          </w:p>
        </w:tc>
        <w:tc>
          <w:tcPr>
            <w:tcW w:type="dxa" w:w="30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A4A5C"/>
                <w:sz w:val="9"/>
                <w:szCs w:val="9"/>
              </w:rPr>
              <w:t xml:space="preserve">100% engageable. USA Insulation transitioning OFF SB (75% → 0% per Andrea Apr 2026) — retention play but not a competitive mandate. Ted DeMarino CEO + Billy Newby CFO new in role — relationship reset opportunity. Heating + Air Paramedics + Plumbing Paramedics (both 91) are strongest non-USA brands.</w:t>
            </w:r>
          </w:p>
        </w:tc>
        <w:tc>
          <w:tcPr>
            <w:tcW w:type="dxa" w:w="4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CEBEB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01313"/>
                <w:sz w:val="10"/>
                <w:szCs w:val="10"/>
              </w:rPr>
              <w:t xml:space="preserve">No</w:t>
            </w:r>
          </w:p>
        </w:tc>
        <w:tc>
          <w:tcPr>
            <w:tcW w:type="dxa" w:w="10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BF5FB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B3D6B"/>
                <w:sz w:val="9"/>
                <w:szCs w:val="9"/>
              </w:rPr>
              <w:t xml:space="preserve">Consumer 75%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185FA5" w:sz="6" w:space="1"/>
        </w:pBdr>
        <w:spacing w:after="160"/>
      </w:pPr>
      <w:r>
        <w:t xml:space="preserve"/>
      </w:r>
    </w:p>
    <w:p>
      <w:pPr>
        <w:spacing w:after="100" w:before="160"/>
      </w:pPr>
      <w:r>
        <w:rPr>
          <w:b/>
          <w:bCs/>
          <w:color w:val="1A2B3C"/>
          <w:sz w:val="20"/>
          <w:szCs w:val="20"/>
        </w:rPr>
        <w:t xml:space="preserve">📊  Strategic Sizing Notes</w:t>
      </w:r>
    </w:p>
    <w:tbl>
      <w:tblPr>
        <w:tblW w:type="dxa" w:w="11160"/>
        <w:tblBorders>
          <w:top w:val="single" w:color="E8D89C" w:sz="6"/>
          <w:left w:val="single" w:color="E8D89C" w:sz="6"/>
          <w:bottom w:val="single" w:color="E8D89C" w:sz="6"/>
          <w:right w:val="single" w:color="E8D89C" w:sz="6"/>
          <w:insideH w:val="single" w:color="auto" w:sz="4"/>
          <w:insideV w:val="single" w:color="auto" w:sz="4"/>
        </w:tblBorders>
      </w:tblPr>
      <w:tblGrid>
        <w:gridCol w:w="11160"/>
      </w:tblGrid>
      <w:tr>
        <w:tc>
          <w:tcPr>
            <w:tcW w:type="dxa" w:w="11160"/>
            <w:shd w:fill="FBF4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A2B3C"/>
                <w:sz w:val="16"/>
                <w:szCs w:val="16"/>
              </w:rPr>
              <w:t xml:space="preserve">Reading the engageable size signal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P1 ENGAGEABLE: 32,884 techs of 44,961 total (73% engageable). $987K Y1@10% — the honest size-of-prize for Track 1 enterprise mandate work.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By engageable techs, Empower P1 #3 (7,750 fully engageable) jumps to the top of the practical engagement pipeline — slightly larger than Neighborly's 7,284 engageable. V2 strategic ranking still puts Neighborly first because of PE/Network/Urgency dimensions, but operational pipeline ranks Empower as the bigger Y1@10% target.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Authority Brands: 4,660 techs locked behind ServiceTitan partnership (BFP/Sparky/One Hour). Engageable 5,500 across the other 9 brands (DRYmedic, STOP Restoration, etc.). Still a substantial opportunity — and the ST partnership timing window favors displacement on the unmandated brands.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P2 set is 100% engageable — no confirmed competitive FSM mandates anywhere. BELFOR's 4,800 engageable techs are stacked across brand corps that already run on SB de facto (HOODZ + DUCTZ at 94%). Convert de facto into mandate before American Securities exit.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Burden of proof rule: A brand counts as engageable until a competitive FSM mandate is confirmed. FieldRoutes/ST flags on Lawn Pride and Mosquito Joe are unconfirmed at brand-corp level — they count as engageable until verified.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160"/>
      </w:pPr>
      <w:r>
        <w:rPr>
          <w:b/>
          <w:bCs/>
          <w:color w:val="1A2B3C"/>
          <w:sz w:val="20"/>
          <w:szCs w:val="20"/>
        </w:rPr>
        <w:t xml:space="preserve">📐  V2 Methodology</w:t>
      </w:r>
    </w:p>
    <w:tbl>
      <w:tblPr>
        <w:tblW w:type="dxa" w:w="11160"/>
        <w:tblBorders>
          <w:top w:val="single" w:color="E8D89C" w:sz="6"/>
          <w:left w:val="single" w:color="E8D89C" w:sz="6"/>
          <w:bottom w:val="single" w:color="E8D89C" w:sz="6"/>
          <w:right w:val="single" w:color="E8D89C" w:sz="6"/>
          <w:insideH w:val="single" w:color="auto" w:sz="4"/>
          <w:insideV w:val="single" w:color="auto" w:sz="4"/>
        </w:tblBorders>
      </w:tblPr>
      <w:tblGrid>
        <w:gridCol w:w="11160"/>
      </w:tblGrid>
      <w:tr>
        <w:tc>
          <w:tcPr>
            <w:tcW w:type="dxa" w:w="11160"/>
            <w:shd w:fill="FBF4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A2B3C"/>
                <w:sz w:val="16"/>
                <w:szCs w:val="16"/>
              </w:rPr>
              <w:t xml:space="preserve">How V2 scores were calculated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7-dimension framework weighted for franchisor-level strategic engagement: Greenfield (20%), Network (15%), PE (15%), DM Access (15%), Urgency (15%), Displacement (10%), C/B Mix (10%).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Each dimension scored 0-100; final V2 score is weighted average. Character labels (PE-GATED, DISPLACEMENT-READY, GREENFIELD-LED, FAST-CYCLE, WEDGE-BRAND, GREENFIELD-OPEN, MONITOR-MODE) capture the strategic engagement archetype each franchisor falls into.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P2 set (BELFOR, Evive, Threshold) classified separately — qualitative existing-footprint designation rather than numerical ranking against P1.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For brand-corp level scoring (Stage 2 brand-corps under each parent), see Track 2 One-Pager. Same 7 dimensions, reweighted for brand-corp velocity (Greenfield 30%, Network 15%, PE 10%, DM Access 15%, Urgency 15%, Displacement 5%, C/B Mix 10%) plus parent-tier inheritance bonus.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jc w:val="center"/>
      </w:pPr>
      <w:r>
        <w:rPr>
          <w:i/>
          <w:iCs/>
          <w:color w:val="6B7A8B"/>
          <w:sz w:val="13"/>
          <w:szCs w:val="13"/>
        </w:rPr>
        <w:t xml:space="preserve">— End of Track 1 P1+P2 Franchisor Priority Matrix —</w:t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i/>
          <w:iCs/>
          <w:color w:val="6B7A8B"/>
          <w:sz w:val="12"/>
          <w:szCs w:val="12"/>
        </w:rPr>
        <w:t xml:space="preserve">Velocity GTM Co LLC · Track 1 P1+P2 Franchisor Priority Matrix v2 · 32,884 P1 engageable techs · $987K P1 Y1@10% · Built from CRM v15.6 · April 30, 2026</w:t>
      </w:r>
    </w:p>
    <w:sectPr>
      <w:headerReference w:type="default" r:id="rId7"/>
      <w:footerReference w:type="default" r:id="rId8"/>
      <w:pgSz w:w="12240" w:h="15840" w:orient="portrait"/>
      <w:pgMar w:top="540" w:right="540" w:bottom="540" w:left="540" w:header="280" w:footer="2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A8B"/>
        <w:sz w:val="14"/>
        <w:szCs w:val="14"/>
      </w:rPr>
      <w:t xml:space="preserve">Velocity GTM Co LLC  ·  April 30, 2026  ·  Page </w:t>
    </w:r>
    <w:r>
      <w:rPr>
        <w:color w:val="6B7A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6B7A8B"/>
        <w:sz w:val="13"/>
        <w:szCs w:val="13"/>
      </w:rPr>
      <w:t xml:space="preserve">TRACK 1 P1+P2 FRANCHISOR PRIORITY MATRIX  ·  v2  ·  CRM v15.6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 1 P1+P2 Franchisor Priority Matrix v2 — CRM v15.6</dc:title>
  <dc:creator>Michael Montgomery Flynt Jr</dc:creator>
  <cp:lastModifiedBy>Un-named</cp:lastModifiedBy>
  <cp:revision>1</cp:revision>
  <dcterms:created xsi:type="dcterms:W3CDTF">2026-05-01T13:52:04.592Z</dcterms:created>
  <dcterms:modified xsi:type="dcterms:W3CDTF">2026-05-01T13:52:04.594Z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