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08F90" w14:textId="77777777" w:rsidR="00B32A20" w:rsidRDefault="00000000">
      <w:pPr>
        <w:spacing w:after="40"/>
      </w:pPr>
      <w:r>
        <w:rPr>
          <w:rFonts w:ascii="Calibri" w:hAnsi="Calibri"/>
          <w:b/>
          <w:color w:val="6B7280"/>
          <w:sz w:val="16"/>
        </w:rPr>
        <w:t>VELOCITY GTM CO  ·  ServiceBridge GTM  ·  Empower Brands  ·  Track 2 P1 #3</w:t>
      </w:r>
    </w:p>
    <w:p w14:paraId="0160789C" w14:textId="77777777" w:rsidR="00B32A20" w:rsidRDefault="00000000">
      <w:pPr>
        <w:spacing w:after="40"/>
      </w:pPr>
      <w:r>
        <w:rPr>
          <w:rFonts w:ascii="Calibri" w:hAnsi="Calibri"/>
          <w:b/>
          <w:color w:val="1A2B3C"/>
          <w:sz w:val="44"/>
        </w:rPr>
        <w:t>Conserva Irrigation</w:t>
      </w:r>
    </w:p>
    <w:p w14:paraId="6CFF9E5C" w14:textId="77777777" w:rsidR="00B32A20" w:rsidRDefault="00000000">
      <w:pPr>
        <w:spacing w:after="160"/>
      </w:pPr>
      <w:r>
        <w:rPr>
          <w:rFonts w:ascii="Calibri" w:hAnsi="Calibri"/>
          <w:b/>
          <w:color w:val="185FA5"/>
          <w:sz w:val="20"/>
        </w:rPr>
        <w:t>Score 61  ·  Tier T5  ·  Character: GREENFIELD-LED · T5 NORTHSTAR · OLB LEGACY · SERVICEMINDER CONFIRMED</w:t>
      </w:r>
    </w:p>
    <w:p w14:paraId="256B1747" w14:textId="77777777" w:rsidR="00B32A20" w:rsidRDefault="00B32A20">
      <w:pPr>
        <w:pBdr>
          <w:bottom w:val="single" w:sz="8" w:space="0" w:color="185FA5"/>
        </w:pBdr>
        <w:spacing w:after="160"/>
      </w:pPr>
    </w:p>
    <w:p w14:paraId="1868B45F" w14:textId="77777777" w:rsidR="00B32A20" w:rsidRDefault="00000000">
      <w:pPr>
        <w:spacing w:after="160"/>
      </w:pPr>
      <w:r>
        <w:rPr>
          <w:rFonts w:ascii="Calibri" w:hAnsi="Calibri"/>
          <w:i/>
          <w:color w:val="374151"/>
          <w:sz w:val="20"/>
        </w:rPr>
        <w:t>Irrigation services · OLB legacy cohort · Heather Todd (Brand Pres, 30+ yrs franchise) · ServiceMinder confirmed via testimonial</w:t>
      </w:r>
    </w:p>
    <w:tbl>
      <w:tblPr>
        <w:tblW w:w="0" w:type="auto"/>
        <w:jc w:val="center"/>
        <w:tblLook w:val="04A0" w:firstRow="1" w:lastRow="0" w:firstColumn="1" w:lastColumn="0" w:noHBand="0" w:noVBand="1"/>
      </w:tblPr>
      <w:tblGrid>
        <w:gridCol w:w="2518"/>
        <w:gridCol w:w="2517"/>
        <w:gridCol w:w="2518"/>
        <w:gridCol w:w="2517"/>
      </w:tblGrid>
      <w:tr w:rsidR="00B32A20" w14:paraId="571E1F91" w14:textId="77777777">
        <w:trPr>
          <w:jc w:val="center"/>
        </w:trPr>
        <w:tc>
          <w:tcPr>
            <w:tcW w:w="2520" w:type="dxa"/>
            <w:tcBorders>
              <w:top w:val="single" w:sz="4" w:space="0" w:color="E5E7EB"/>
              <w:left w:val="single" w:sz="4" w:space="0" w:color="E5E7EB"/>
              <w:bottom w:val="single" w:sz="4" w:space="0" w:color="E5E7EB"/>
              <w:right w:val="single" w:sz="4" w:space="0" w:color="E5E7EB"/>
            </w:tcBorders>
            <w:shd w:val="clear" w:color="auto" w:fill="F7F8FA"/>
          </w:tcPr>
          <w:p w14:paraId="03DC4F1F" w14:textId="77777777" w:rsidR="00B32A20" w:rsidRDefault="00000000">
            <w:pPr>
              <w:spacing w:after="40"/>
            </w:pPr>
            <w:r>
              <w:rPr>
                <w:rFonts w:ascii="Calibri" w:hAnsi="Calibri"/>
                <w:b/>
                <w:color w:val="6B7280"/>
                <w:sz w:val="16"/>
              </w:rPr>
              <w:t>LOCATIONS</w:t>
            </w:r>
          </w:p>
          <w:p w14:paraId="35D40AFD" w14:textId="77777777" w:rsidR="00B32A20" w:rsidRDefault="00000000">
            <w:pPr>
              <w:spacing w:after="0"/>
            </w:pPr>
            <w:r>
              <w:rPr>
                <w:rFonts w:ascii="Calibri" w:hAnsi="Calibri"/>
                <w:b/>
                <w:color w:val="1A2B3C"/>
              </w:rPr>
              <w:t>100</w:t>
            </w:r>
          </w:p>
        </w:tc>
        <w:tc>
          <w:tcPr>
            <w:tcW w:w="2520" w:type="dxa"/>
            <w:tcBorders>
              <w:top w:val="single" w:sz="4" w:space="0" w:color="E5E7EB"/>
              <w:left w:val="single" w:sz="4" w:space="0" w:color="E5E7EB"/>
              <w:bottom w:val="single" w:sz="4" w:space="0" w:color="E5E7EB"/>
              <w:right w:val="single" w:sz="4" w:space="0" w:color="E5E7EB"/>
            </w:tcBorders>
            <w:shd w:val="clear" w:color="auto" w:fill="F7F8FA"/>
          </w:tcPr>
          <w:p w14:paraId="22B664A1" w14:textId="77777777" w:rsidR="00B32A20" w:rsidRDefault="00000000">
            <w:pPr>
              <w:spacing w:after="40"/>
            </w:pPr>
            <w:r>
              <w:rPr>
                <w:rFonts w:ascii="Calibri" w:hAnsi="Calibri"/>
                <w:b/>
                <w:color w:val="6B7280"/>
                <w:sz w:val="16"/>
              </w:rPr>
              <w:t>TECHS / LOC</w:t>
            </w:r>
          </w:p>
          <w:p w14:paraId="4A3F2A5D" w14:textId="77777777" w:rsidR="00B32A20" w:rsidRDefault="00000000">
            <w:pPr>
              <w:spacing w:after="0"/>
            </w:pPr>
            <w:r>
              <w:rPr>
                <w:rFonts w:ascii="Calibri" w:hAnsi="Calibri"/>
                <w:b/>
                <w:color w:val="1A2B3C"/>
              </w:rPr>
              <w:t>3</w:t>
            </w:r>
          </w:p>
        </w:tc>
        <w:tc>
          <w:tcPr>
            <w:tcW w:w="2520" w:type="dxa"/>
            <w:tcBorders>
              <w:top w:val="single" w:sz="4" w:space="0" w:color="E5E7EB"/>
              <w:left w:val="single" w:sz="4" w:space="0" w:color="E5E7EB"/>
              <w:bottom w:val="single" w:sz="4" w:space="0" w:color="E5E7EB"/>
              <w:right w:val="single" w:sz="4" w:space="0" w:color="E5E7EB"/>
            </w:tcBorders>
            <w:shd w:val="clear" w:color="auto" w:fill="F7F8FA"/>
          </w:tcPr>
          <w:p w14:paraId="7448FC43" w14:textId="77777777" w:rsidR="00B32A20" w:rsidRDefault="00000000">
            <w:pPr>
              <w:spacing w:after="40"/>
            </w:pPr>
            <w:r>
              <w:rPr>
                <w:rFonts w:ascii="Calibri" w:hAnsi="Calibri"/>
                <w:b/>
                <w:color w:val="6B7280"/>
                <w:sz w:val="16"/>
              </w:rPr>
              <w:t>TOTAL / ENGAGEABLE</w:t>
            </w:r>
          </w:p>
          <w:p w14:paraId="2F02854F" w14:textId="77777777" w:rsidR="00B32A20" w:rsidRDefault="00000000">
            <w:pPr>
              <w:spacing w:after="0"/>
            </w:pPr>
            <w:r>
              <w:rPr>
                <w:rFonts w:ascii="Calibri" w:hAnsi="Calibri"/>
                <w:b/>
                <w:color w:val="1A2B3C"/>
              </w:rPr>
              <w:t>300 / 300</w:t>
            </w:r>
          </w:p>
        </w:tc>
        <w:tc>
          <w:tcPr>
            <w:tcW w:w="2520" w:type="dxa"/>
            <w:tcBorders>
              <w:top w:val="single" w:sz="4" w:space="0" w:color="E5E7EB"/>
              <w:left w:val="single" w:sz="4" w:space="0" w:color="E5E7EB"/>
              <w:bottom w:val="single" w:sz="4" w:space="0" w:color="E5E7EB"/>
              <w:right w:val="single" w:sz="4" w:space="0" w:color="E5E7EB"/>
            </w:tcBorders>
            <w:shd w:val="clear" w:color="auto" w:fill="F7F8FA"/>
          </w:tcPr>
          <w:p w14:paraId="0EC101FE" w14:textId="77777777" w:rsidR="00B32A20" w:rsidRDefault="00000000">
            <w:pPr>
              <w:spacing w:after="40"/>
            </w:pPr>
            <w:r>
              <w:rPr>
                <w:rFonts w:ascii="Calibri" w:hAnsi="Calibri"/>
                <w:b/>
                <w:color w:val="6B7280"/>
                <w:sz w:val="16"/>
              </w:rPr>
              <w:t>Y1 ARR @ 10%</w:t>
            </w:r>
          </w:p>
          <w:p w14:paraId="1D761C08" w14:textId="77777777" w:rsidR="00B32A20" w:rsidRDefault="00000000">
            <w:pPr>
              <w:spacing w:after="0"/>
            </w:pPr>
            <w:r>
              <w:rPr>
                <w:rFonts w:ascii="Calibri" w:hAnsi="Calibri"/>
                <w:b/>
                <w:color w:val="1A2B3C"/>
              </w:rPr>
              <w:t>$9K</w:t>
            </w:r>
          </w:p>
        </w:tc>
      </w:tr>
    </w:tbl>
    <w:p w14:paraId="39ADF483" w14:textId="77777777" w:rsidR="00B32A20" w:rsidRDefault="00B32A20">
      <w:pPr>
        <w:spacing w:after="80"/>
      </w:pPr>
    </w:p>
    <w:tbl>
      <w:tblPr>
        <w:tblW w:w="0" w:type="auto"/>
        <w:jc w:val="center"/>
        <w:tblLook w:val="04A0" w:firstRow="1" w:lastRow="0" w:firstColumn="1" w:lastColumn="0" w:noHBand="0" w:noVBand="1"/>
      </w:tblPr>
      <w:tblGrid>
        <w:gridCol w:w="10064"/>
      </w:tblGrid>
      <w:tr w:rsidR="00B32A20" w14:paraId="5FE08F00" w14:textId="77777777">
        <w:trPr>
          <w:jc w:val="center"/>
        </w:trPr>
        <w:tc>
          <w:tcPr>
            <w:tcW w:w="10080" w:type="dxa"/>
            <w:tcBorders>
              <w:top w:val="single" w:sz="6" w:space="0" w:color="B8860B"/>
              <w:left w:val="single" w:sz="6" w:space="0" w:color="B8860B"/>
              <w:bottom w:val="single" w:sz="6" w:space="0" w:color="B8860B"/>
              <w:right w:val="single" w:sz="6" w:space="0" w:color="B8860B"/>
            </w:tcBorders>
            <w:shd w:val="clear" w:color="auto" w:fill="FFF8E1"/>
          </w:tcPr>
          <w:p w14:paraId="618A2293" w14:textId="77777777" w:rsidR="00B32A20" w:rsidRDefault="00000000">
            <w:pPr>
              <w:spacing w:after="80"/>
            </w:pPr>
            <w:r>
              <w:rPr>
                <w:rFonts w:ascii="Calibri" w:hAnsi="Calibri"/>
                <w:b/>
                <w:color w:val="B8860B"/>
                <w:sz w:val="18"/>
              </w:rPr>
              <w:t>MY READ</w:t>
            </w:r>
          </w:p>
          <w:p w14:paraId="0B5D4B34" w14:textId="77777777" w:rsidR="00B32A20" w:rsidRDefault="00000000">
            <w:pPr>
              <w:spacing w:after="120"/>
            </w:pPr>
            <w:r>
              <w:rPr>
                <w:rFonts w:ascii="Calibri" w:hAnsi="Calibri"/>
                <w:b/>
                <w:color w:val="1A2B3C"/>
                <w:sz w:val="24"/>
              </w:rPr>
              <w:t>Heather Todd has 30+ years of franchise experience — her parents launched their training and consulting franchise when she was a child. She is, in the most literal sense, a franchise lifer. Conserva runs ServiceMinder confirmed via published testimonial.</w:t>
            </w:r>
          </w:p>
          <w:p w14:paraId="151ACFA7" w14:textId="77777777" w:rsidR="00B32A20" w:rsidRDefault="00000000">
            <w:pPr>
              <w:spacing w:after="80" w:line="312" w:lineRule="auto"/>
            </w:pPr>
            <w:r>
              <w:rPr>
                <w:rFonts w:ascii="Calibri" w:hAnsi="Calibri"/>
                <w:color w:val="374151"/>
                <w:sz w:val="20"/>
              </w:rPr>
              <w:t>Heather Todd serves as Brand President of Conserva Irrigation. She joined the home services space in 2009, led operations for a multi-brand franchisee, then joined a multi-brand franchisor as VP of Operations before joining Empower. Her franchise journey started as a child when her parents launched their training and consulting franchise — that's 30+ years of franchise DNA. She champions the 'Conserva Way' with focus on growth and excellence preserving brand culture.</w:t>
            </w:r>
          </w:p>
          <w:p w14:paraId="409CF144" w14:textId="77777777" w:rsidR="00B32A20" w:rsidRDefault="00000000">
            <w:pPr>
              <w:spacing w:after="80" w:line="312" w:lineRule="auto"/>
            </w:pPr>
            <w:r>
              <w:rPr>
                <w:rFonts w:ascii="Calibri" w:hAnsi="Calibri"/>
                <w:color w:val="374151"/>
                <w:sz w:val="20"/>
              </w:rPr>
              <w:t>Conserva is the OLB legacy brand where ServiceMinder is confirmed in the stack via published testimonial — that's a known data point we don't have for the other OLB brands. Irrigation work is recurring (sprinkler maintenance, system checks, seasonal start-up/winterization) plus project-based (new system installs, retrofits). ServiceBridge handles both. The displacement motion against ServiceMinder is the same as the rest of the cohort, but with the advantage that Conserva's testimonial is public — we can cite ServiceMinder explicitly in pitch.</w:t>
            </w:r>
          </w:p>
        </w:tc>
      </w:tr>
    </w:tbl>
    <w:p w14:paraId="44DACFE9" w14:textId="77777777" w:rsidR="00B32A20" w:rsidRDefault="00B32A20">
      <w:pPr>
        <w:spacing w:after="80"/>
      </w:pPr>
    </w:p>
    <w:p w14:paraId="1967007A" w14:textId="77777777" w:rsidR="00B32A20" w:rsidRDefault="00000000">
      <w:pPr>
        <w:spacing w:before="160" w:after="80"/>
      </w:pPr>
      <w:r>
        <w:rPr>
          <w:rFonts w:ascii="Calibri" w:hAnsi="Calibri"/>
          <w:b/>
          <w:color w:val="1A2B3C"/>
          <w:sz w:val="26"/>
        </w:rPr>
        <w:t>DIMENSION SCORING  ·  6 LENSES</w:t>
      </w:r>
    </w:p>
    <w:tbl>
      <w:tblPr>
        <w:tblW w:w="0" w:type="auto"/>
        <w:jc w:val="center"/>
        <w:tblLook w:val="04A0" w:firstRow="1" w:lastRow="0" w:firstColumn="1" w:lastColumn="0" w:noHBand="0" w:noVBand="1"/>
      </w:tblPr>
      <w:tblGrid>
        <w:gridCol w:w="2014"/>
        <w:gridCol w:w="1296"/>
        <w:gridCol w:w="6760"/>
      </w:tblGrid>
      <w:tr w:rsidR="00B32A20" w14:paraId="33DC3336" w14:textId="77777777">
        <w:trPr>
          <w:jc w:val="center"/>
        </w:trPr>
        <w:tc>
          <w:tcPr>
            <w:tcW w:w="2016" w:type="dxa"/>
            <w:tcBorders>
              <w:top w:val="single" w:sz="4" w:space="0" w:color="1A2B3C"/>
              <w:left w:val="single" w:sz="4" w:space="0" w:color="1A2B3C"/>
              <w:bottom w:val="single" w:sz="4" w:space="0" w:color="1A2B3C"/>
              <w:right w:val="single" w:sz="4" w:space="0" w:color="1A2B3C"/>
            </w:tcBorders>
            <w:shd w:val="clear" w:color="auto" w:fill="1A2B3C"/>
          </w:tcPr>
          <w:p w14:paraId="1F8A1234" w14:textId="77777777" w:rsidR="00B32A20" w:rsidRDefault="00000000">
            <w:pPr>
              <w:spacing w:after="0"/>
            </w:pPr>
            <w:r>
              <w:rPr>
                <w:rFonts w:ascii="Calibri" w:hAnsi="Calibri"/>
                <w:b/>
                <w:color w:val="FFFFFF"/>
                <w:sz w:val="18"/>
              </w:rPr>
              <w:t>DIMENSION</w:t>
            </w:r>
          </w:p>
        </w:tc>
        <w:tc>
          <w:tcPr>
            <w:tcW w:w="1296" w:type="dxa"/>
            <w:tcBorders>
              <w:top w:val="single" w:sz="4" w:space="0" w:color="1A2B3C"/>
              <w:left w:val="single" w:sz="4" w:space="0" w:color="1A2B3C"/>
              <w:bottom w:val="single" w:sz="4" w:space="0" w:color="1A2B3C"/>
              <w:right w:val="single" w:sz="4" w:space="0" w:color="1A2B3C"/>
            </w:tcBorders>
            <w:shd w:val="clear" w:color="auto" w:fill="1A2B3C"/>
          </w:tcPr>
          <w:p w14:paraId="0EE90C1E" w14:textId="77777777" w:rsidR="00B32A20" w:rsidRDefault="00000000">
            <w:pPr>
              <w:spacing w:after="0"/>
            </w:pPr>
            <w:r>
              <w:rPr>
                <w:rFonts w:ascii="Calibri" w:hAnsi="Calibri"/>
                <w:b/>
                <w:color w:val="FFFFFF"/>
                <w:sz w:val="18"/>
              </w:rPr>
              <w:t>FLAG</w:t>
            </w:r>
          </w:p>
        </w:tc>
        <w:tc>
          <w:tcPr>
            <w:tcW w:w="6768" w:type="dxa"/>
            <w:tcBorders>
              <w:top w:val="single" w:sz="4" w:space="0" w:color="1A2B3C"/>
              <w:left w:val="single" w:sz="4" w:space="0" w:color="1A2B3C"/>
              <w:bottom w:val="single" w:sz="4" w:space="0" w:color="1A2B3C"/>
              <w:right w:val="single" w:sz="4" w:space="0" w:color="1A2B3C"/>
            </w:tcBorders>
            <w:shd w:val="clear" w:color="auto" w:fill="1A2B3C"/>
          </w:tcPr>
          <w:p w14:paraId="1D82895B" w14:textId="77777777" w:rsidR="00B32A20" w:rsidRDefault="00000000">
            <w:pPr>
              <w:spacing w:after="0"/>
            </w:pPr>
            <w:r>
              <w:rPr>
                <w:rFonts w:ascii="Calibri" w:hAnsi="Calibri"/>
                <w:b/>
                <w:color w:val="FFFFFF"/>
                <w:sz w:val="18"/>
              </w:rPr>
              <w:t>NARRATIVE</w:t>
            </w:r>
          </w:p>
        </w:tc>
      </w:tr>
      <w:tr w:rsidR="00B32A20" w14:paraId="4244C126"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7F8FA"/>
          </w:tcPr>
          <w:p w14:paraId="21A57F94" w14:textId="77777777" w:rsidR="00B32A20" w:rsidRDefault="00000000">
            <w:pPr>
              <w:spacing w:after="0"/>
            </w:pPr>
            <w:r>
              <w:rPr>
                <w:rFonts w:ascii="Calibri" w:hAnsi="Calibri"/>
                <w:b/>
                <w:color w:val="1A2B3C"/>
                <w:sz w:val="18"/>
              </w:rPr>
              <w:t>Greenfield Posture</w:t>
            </w:r>
          </w:p>
        </w:tc>
        <w:tc>
          <w:tcPr>
            <w:tcW w:w="1296" w:type="dxa"/>
            <w:tcBorders>
              <w:top w:val="single" w:sz="4" w:space="0" w:color="CCCCCC"/>
              <w:left w:val="single" w:sz="4" w:space="0" w:color="CCCCCC"/>
              <w:bottom w:val="single" w:sz="4" w:space="0" w:color="CCCCCC"/>
              <w:right w:val="single" w:sz="4" w:space="0" w:color="CCCCCC"/>
            </w:tcBorders>
            <w:shd w:val="clear" w:color="auto" w:fill="FFF1E0"/>
          </w:tcPr>
          <w:p w14:paraId="651C05E3" w14:textId="77777777" w:rsidR="00B32A20" w:rsidRDefault="00000000">
            <w:pPr>
              <w:spacing w:after="0"/>
              <w:jc w:val="center"/>
            </w:pPr>
            <w:r>
              <w:rPr>
                <w:rFonts w:ascii="Calibri" w:hAnsi="Calibri"/>
                <w:b/>
                <w:color w:val="C25E1A"/>
                <w:sz w:val="18"/>
              </w:rPr>
              <w:t>CAUTION</w:t>
            </w:r>
          </w:p>
        </w:tc>
        <w:tc>
          <w:tcPr>
            <w:tcW w:w="6768" w:type="dxa"/>
            <w:tcBorders>
              <w:top w:val="single" w:sz="4" w:space="0" w:color="CCCCCC"/>
              <w:left w:val="single" w:sz="4" w:space="0" w:color="CCCCCC"/>
              <w:bottom w:val="single" w:sz="4" w:space="0" w:color="CCCCCC"/>
              <w:right w:val="single" w:sz="4" w:space="0" w:color="CCCCCC"/>
            </w:tcBorders>
          </w:tcPr>
          <w:p w14:paraId="7F1ACD59" w14:textId="77777777" w:rsidR="00B32A20" w:rsidRDefault="00000000">
            <w:pPr>
              <w:spacing w:after="0"/>
            </w:pPr>
            <w:r>
              <w:rPr>
                <w:rFonts w:ascii="Calibri" w:hAnsi="Calibri"/>
                <w:color w:val="374151"/>
                <w:sz w:val="18"/>
              </w:rPr>
              <w:t>Not ST-mandated. ServiceMinder confirmed via Conserva testimonial — public confirmation. Engageable, displacement motion known.</w:t>
            </w:r>
          </w:p>
        </w:tc>
      </w:tr>
      <w:tr w:rsidR="00B32A20" w14:paraId="024CA5FB"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7F8FA"/>
          </w:tcPr>
          <w:p w14:paraId="62B2A558" w14:textId="77777777" w:rsidR="00B32A20" w:rsidRDefault="00000000">
            <w:pPr>
              <w:spacing w:after="0"/>
            </w:pPr>
            <w:r>
              <w:rPr>
                <w:rFonts w:ascii="Calibri" w:hAnsi="Calibri"/>
                <w:b/>
                <w:color w:val="1A2B3C"/>
                <w:sz w:val="18"/>
              </w:rPr>
              <w:t>Persona Access</w:t>
            </w:r>
          </w:p>
        </w:tc>
        <w:tc>
          <w:tcPr>
            <w:tcW w:w="1296" w:type="dxa"/>
            <w:tcBorders>
              <w:top w:val="single" w:sz="4" w:space="0" w:color="CCCCCC"/>
              <w:left w:val="single" w:sz="4" w:space="0" w:color="CCCCCC"/>
              <w:bottom w:val="single" w:sz="4" w:space="0" w:color="CCCCCC"/>
              <w:right w:val="single" w:sz="4" w:space="0" w:color="CCCCCC"/>
            </w:tcBorders>
            <w:shd w:val="clear" w:color="auto" w:fill="E8F4EE"/>
          </w:tcPr>
          <w:p w14:paraId="7A7E194D" w14:textId="77777777" w:rsidR="00B32A20" w:rsidRDefault="00000000">
            <w:pPr>
              <w:spacing w:after="0"/>
              <w:jc w:val="center"/>
            </w:pPr>
            <w:r>
              <w:rPr>
                <w:rFonts w:ascii="Calibri" w:hAnsi="Calibri"/>
                <w:b/>
                <w:color w:val="2D6A4F"/>
                <w:sz w:val="18"/>
              </w:rPr>
              <w:t>STRONG</w:t>
            </w:r>
          </w:p>
        </w:tc>
        <w:tc>
          <w:tcPr>
            <w:tcW w:w="6768" w:type="dxa"/>
            <w:tcBorders>
              <w:top w:val="single" w:sz="4" w:space="0" w:color="CCCCCC"/>
              <w:left w:val="single" w:sz="4" w:space="0" w:color="CCCCCC"/>
              <w:bottom w:val="single" w:sz="4" w:space="0" w:color="CCCCCC"/>
              <w:right w:val="single" w:sz="4" w:space="0" w:color="CCCCCC"/>
            </w:tcBorders>
          </w:tcPr>
          <w:p w14:paraId="529D943C" w14:textId="77777777" w:rsidR="00B32A20" w:rsidRDefault="00000000">
            <w:pPr>
              <w:spacing w:after="0"/>
            </w:pPr>
            <w:r>
              <w:rPr>
                <w:rFonts w:ascii="Calibri" w:hAnsi="Calibri"/>
                <w:color w:val="374151"/>
                <w:sz w:val="18"/>
              </w:rPr>
              <w:t>Heather Todd (Brand Pres, 30+ yrs franchise experience). Lives in Richmond VA — same town as Empower HQ. Strong Empower-corporate proximity.</w:t>
            </w:r>
          </w:p>
        </w:tc>
      </w:tr>
      <w:tr w:rsidR="00B32A20" w14:paraId="77848510"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7F8FA"/>
          </w:tcPr>
          <w:p w14:paraId="51883C0A" w14:textId="77777777" w:rsidR="00B32A20" w:rsidRDefault="00000000">
            <w:pPr>
              <w:spacing w:after="0"/>
            </w:pPr>
            <w:r>
              <w:rPr>
                <w:rFonts w:ascii="Calibri" w:hAnsi="Calibri"/>
                <w:b/>
                <w:color w:val="1A2B3C"/>
                <w:sz w:val="18"/>
              </w:rPr>
              <w:t>Commercial / Consumer Mix</w:t>
            </w:r>
          </w:p>
        </w:tc>
        <w:tc>
          <w:tcPr>
            <w:tcW w:w="1296" w:type="dxa"/>
            <w:tcBorders>
              <w:top w:val="single" w:sz="4" w:space="0" w:color="CCCCCC"/>
              <w:left w:val="single" w:sz="4" w:space="0" w:color="CCCCCC"/>
              <w:bottom w:val="single" w:sz="4" w:space="0" w:color="CCCCCC"/>
              <w:right w:val="single" w:sz="4" w:space="0" w:color="CCCCCC"/>
            </w:tcBorders>
            <w:shd w:val="clear" w:color="auto" w:fill="E8F4EE"/>
          </w:tcPr>
          <w:p w14:paraId="72742BC4" w14:textId="77777777" w:rsidR="00B32A20" w:rsidRDefault="00000000">
            <w:pPr>
              <w:spacing w:after="0"/>
              <w:jc w:val="center"/>
            </w:pPr>
            <w:r>
              <w:rPr>
                <w:rFonts w:ascii="Calibri" w:hAnsi="Calibri"/>
                <w:b/>
                <w:color w:val="2D6A4F"/>
                <w:sz w:val="18"/>
              </w:rPr>
              <w:t>STRONG</w:t>
            </w:r>
          </w:p>
        </w:tc>
        <w:tc>
          <w:tcPr>
            <w:tcW w:w="6768" w:type="dxa"/>
            <w:tcBorders>
              <w:top w:val="single" w:sz="4" w:space="0" w:color="CCCCCC"/>
              <w:left w:val="single" w:sz="4" w:space="0" w:color="CCCCCC"/>
              <w:bottom w:val="single" w:sz="4" w:space="0" w:color="CCCCCC"/>
              <w:right w:val="single" w:sz="4" w:space="0" w:color="CCCCCC"/>
            </w:tcBorders>
          </w:tcPr>
          <w:p w14:paraId="6DBFF0C4" w14:textId="77777777" w:rsidR="00B32A20" w:rsidRDefault="00000000">
            <w:pPr>
              <w:spacing w:after="0"/>
            </w:pPr>
            <w:r>
              <w:rPr>
                <w:rFonts w:ascii="Calibri" w:hAnsi="Calibri"/>
                <w:color w:val="374151"/>
                <w:sz w:val="18"/>
              </w:rPr>
              <w:t>Mixed — residential irrigation + commercial property contracts (office parks, HOAs, multi-family). ServiceBridge handles both.</w:t>
            </w:r>
          </w:p>
        </w:tc>
      </w:tr>
      <w:tr w:rsidR="00B32A20" w14:paraId="491EDBC7"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7F8FA"/>
          </w:tcPr>
          <w:p w14:paraId="31F1AC60" w14:textId="77777777" w:rsidR="00B32A20" w:rsidRDefault="00000000">
            <w:pPr>
              <w:spacing w:after="0"/>
            </w:pPr>
            <w:r>
              <w:rPr>
                <w:rFonts w:ascii="Calibri" w:hAnsi="Calibri"/>
                <w:b/>
                <w:color w:val="1A2B3C"/>
                <w:sz w:val="18"/>
              </w:rPr>
              <w:t>BPO in place</w:t>
            </w:r>
          </w:p>
        </w:tc>
        <w:tc>
          <w:tcPr>
            <w:tcW w:w="1296" w:type="dxa"/>
            <w:tcBorders>
              <w:top w:val="single" w:sz="4" w:space="0" w:color="CCCCCC"/>
              <w:left w:val="single" w:sz="4" w:space="0" w:color="CCCCCC"/>
              <w:bottom w:val="single" w:sz="4" w:space="0" w:color="CCCCCC"/>
              <w:right w:val="single" w:sz="4" w:space="0" w:color="CCCCCC"/>
            </w:tcBorders>
            <w:shd w:val="clear" w:color="auto" w:fill="F3F4F6"/>
          </w:tcPr>
          <w:p w14:paraId="1F6EB891" w14:textId="77777777" w:rsidR="00B32A20" w:rsidRDefault="00000000">
            <w:pPr>
              <w:spacing w:after="0"/>
              <w:jc w:val="center"/>
            </w:pPr>
            <w:r>
              <w:rPr>
                <w:rFonts w:ascii="Calibri" w:hAnsi="Calibri"/>
                <w:b/>
                <w:color w:val="6B7280"/>
                <w:sz w:val="18"/>
              </w:rPr>
              <w:t>UNKNOWN</w:t>
            </w:r>
          </w:p>
        </w:tc>
        <w:tc>
          <w:tcPr>
            <w:tcW w:w="6768" w:type="dxa"/>
            <w:tcBorders>
              <w:top w:val="single" w:sz="4" w:space="0" w:color="CCCCCC"/>
              <w:left w:val="single" w:sz="4" w:space="0" w:color="CCCCCC"/>
              <w:bottom w:val="single" w:sz="4" w:space="0" w:color="CCCCCC"/>
              <w:right w:val="single" w:sz="4" w:space="0" w:color="CCCCCC"/>
            </w:tcBorders>
          </w:tcPr>
          <w:p w14:paraId="75AB5668" w14:textId="77777777" w:rsidR="00B32A20" w:rsidRDefault="00000000">
            <w:pPr>
              <w:spacing w:after="0"/>
            </w:pPr>
            <w:r>
              <w:rPr>
                <w:rFonts w:ascii="Calibri" w:hAnsi="Calibri"/>
                <w:color w:val="374151"/>
                <w:sz w:val="18"/>
              </w:rPr>
              <w:t>Validate.</w:t>
            </w:r>
          </w:p>
        </w:tc>
      </w:tr>
      <w:tr w:rsidR="00B32A20" w14:paraId="0BED9204"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7F8FA"/>
          </w:tcPr>
          <w:p w14:paraId="3FE22ED8" w14:textId="77777777" w:rsidR="00B32A20" w:rsidRDefault="00000000">
            <w:pPr>
              <w:spacing w:after="0"/>
            </w:pPr>
            <w:r>
              <w:rPr>
                <w:rFonts w:ascii="Calibri" w:hAnsi="Calibri"/>
                <w:b/>
                <w:color w:val="1A2B3C"/>
                <w:sz w:val="18"/>
              </w:rPr>
              <w:t>QuickBooks deployed</w:t>
            </w:r>
          </w:p>
        </w:tc>
        <w:tc>
          <w:tcPr>
            <w:tcW w:w="1296" w:type="dxa"/>
            <w:tcBorders>
              <w:top w:val="single" w:sz="4" w:space="0" w:color="CCCCCC"/>
              <w:left w:val="single" w:sz="4" w:space="0" w:color="CCCCCC"/>
              <w:bottom w:val="single" w:sz="4" w:space="0" w:color="CCCCCC"/>
              <w:right w:val="single" w:sz="4" w:space="0" w:color="CCCCCC"/>
            </w:tcBorders>
            <w:shd w:val="clear" w:color="auto" w:fill="F3F4F6"/>
          </w:tcPr>
          <w:p w14:paraId="632BEE3B" w14:textId="77777777" w:rsidR="00B32A20" w:rsidRDefault="00000000">
            <w:pPr>
              <w:spacing w:after="0"/>
              <w:jc w:val="center"/>
            </w:pPr>
            <w:r>
              <w:rPr>
                <w:rFonts w:ascii="Calibri" w:hAnsi="Calibri"/>
                <w:b/>
                <w:color w:val="6B7280"/>
                <w:sz w:val="18"/>
              </w:rPr>
              <w:t>UNKNOWN</w:t>
            </w:r>
          </w:p>
        </w:tc>
        <w:tc>
          <w:tcPr>
            <w:tcW w:w="6768" w:type="dxa"/>
            <w:tcBorders>
              <w:top w:val="single" w:sz="4" w:space="0" w:color="CCCCCC"/>
              <w:left w:val="single" w:sz="4" w:space="0" w:color="CCCCCC"/>
              <w:bottom w:val="single" w:sz="4" w:space="0" w:color="CCCCCC"/>
              <w:right w:val="single" w:sz="4" w:space="0" w:color="CCCCCC"/>
            </w:tcBorders>
          </w:tcPr>
          <w:p w14:paraId="275F3E81" w14:textId="77777777" w:rsidR="00B32A20" w:rsidRDefault="00000000">
            <w:pPr>
              <w:spacing w:after="0"/>
            </w:pPr>
            <w:r>
              <w:rPr>
                <w:rFonts w:ascii="Calibri" w:hAnsi="Calibri"/>
                <w:color w:val="374151"/>
                <w:sz w:val="18"/>
              </w:rPr>
              <w:t>Typical QB users. Validate.</w:t>
            </w:r>
          </w:p>
        </w:tc>
      </w:tr>
      <w:tr w:rsidR="00B32A20" w14:paraId="54B3BDCE"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7F8FA"/>
          </w:tcPr>
          <w:p w14:paraId="34074AF1" w14:textId="77777777" w:rsidR="00B32A20" w:rsidRDefault="00000000">
            <w:pPr>
              <w:spacing w:after="0"/>
            </w:pPr>
            <w:r>
              <w:rPr>
                <w:rFonts w:ascii="Calibri" w:hAnsi="Calibri"/>
                <w:b/>
                <w:color w:val="1A2B3C"/>
                <w:sz w:val="18"/>
              </w:rPr>
              <w:t>Events attended</w:t>
            </w:r>
          </w:p>
        </w:tc>
        <w:tc>
          <w:tcPr>
            <w:tcW w:w="1296" w:type="dxa"/>
            <w:tcBorders>
              <w:top w:val="single" w:sz="4" w:space="0" w:color="CCCCCC"/>
              <w:left w:val="single" w:sz="4" w:space="0" w:color="CCCCCC"/>
              <w:bottom w:val="single" w:sz="4" w:space="0" w:color="CCCCCC"/>
              <w:right w:val="single" w:sz="4" w:space="0" w:color="CCCCCC"/>
            </w:tcBorders>
            <w:shd w:val="clear" w:color="auto" w:fill="E8F4EE"/>
          </w:tcPr>
          <w:p w14:paraId="16D2CED4" w14:textId="77777777" w:rsidR="00B32A20" w:rsidRDefault="00000000">
            <w:pPr>
              <w:spacing w:after="0"/>
              <w:jc w:val="center"/>
            </w:pPr>
            <w:r>
              <w:rPr>
                <w:rFonts w:ascii="Calibri" w:hAnsi="Calibri"/>
                <w:b/>
                <w:color w:val="2D6A4F"/>
                <w:sz w:val="18"/>
              </w:rPr>
              <w:t>STRONG</w:t>
            </w:r>
          </w:p>
        </w:tc>
        <w:tc>
          <w:tcPr>
            <w:tcW w:w="6768" w:type="dxa"/>
            <w:tcBorders>
              <w:top w:val="single" w:sz="4" w:space="0" w:color="CCCCCC"/>
              <w:left w:val="single" w:sz="4" w:space="0" w:color="CCCCCC"/>
              <w:bottom w:val="single" w:sz="4" w:space="0" w:color="CCCCCC"/>
              <w:right w:val="single" w:sz="4" w:space="0" w:color="CCCCCC"/>
            </w:tcBorders>
          </w:tcPr>
          <w:p w14:paraId="3055553C" w14:textId="77777777" w:rsidR="00B32A20" w:rsidRDefault="00000000">
            <w:pPr>
              <w:spacing w:after="0"/>
            </w:pPr>
            <w:r>
              <w:rPr>
                <w:rFonts w:ascii="Calibri" w:hAnsi="Calibri"/>
                <w:color w:val="374151"/>
                <w:sz w:val="18"/>
              </w:rPr>
              <w:t>Ignite Conference. IA (Irrigation Association) Show. Lawn industry events.</w:t>
            </w:r>
          </w:p>
        </w:tc>
      </w:tr>
    </w:tbl>
    <w:p w14:paraId="0E856DF7" w14:textId="77777777" w:rsidR="00B32A20" w:rsidRDefault="00B32A20">
      <w:pPr>
        <w:spacing w:after="80"/>
      </w:pPr>
    </w:p>
    <w:p w14:paraId="2FD86650" w14:textId="77777777" w:rsidR="00B32A20" w:rsidRDefault="00000000">
      <w:pPr>
        <w:spacing w:before="160" w:after="80"/>
      </w:pPr>
      <w:r>
        <w:rPr>
          <w:rFonts w:ascii="Calibri" w:hAnsi="Calibri"/>
          <w:b/>
          <w:color w:val="1A2B3C"/>
          <w:sz w:val="26"/>
        </w:rPr>
        <w:t>WHAT WE'D LEVERAGE  ·  WHAT WE'D CHALLENGE</w:t>
      </w:r>
    </w:p>
    <w:tbl>
      <w:tblPr>
        <w:tblW w:w="0" w:type="auto"/>
        <w:jc w:val="center"/>
        <w:tblLook w:val="04A0" w:firstRow="1" w:lastRow="0" w:firstColumn="1" w:lastColumn="0" w:noHBand="0" w:noVBand="1"/>
      </w:tblPr>
      <w:tblGrid>
        <w:gridCol w:w="5032"/>
        <w:gridCol w:w="5032"/>
      </w:tblGrid>
      <w:tr w:rsidR="00B32A20" w14:paraId="28AFA074" w14:textId="77777777">
        <w:trPr>
          <w:jc w:val="center"/>
        </w:trPr>
        <w:tc>
          <w:tcPr>
            <w:tcW w:w="5040" w:type="dxa"/>
            <w:tcBorders>
              <w:top w:val="single" w:sz="6" w:space="0" w:color="2D6A4F"/>
              <w:left w:val="single" w:sz="6" w:space="0" w:color="2D6A4F"/>
              <w:bottom w:val="single" w:sz="6" w:space="0" w:color="2D6A4F"/>
              <w:right w:val="single" w:sz="6" w:space="0" w:color="2D6A4F"/>
            </w:tcBorders>
            <w:shd w:val="clear" w:color="auto" w:fill="E8F4EE"/>
          </w:tcPr>
          <w:p w14:paraId="1BD9CCC7" w14:textId="77777777" w:rsidR="00B32A20" w:rsidRDefault="00000000">
            <w:pPr>
              <w:spacing w:after="0"/>
            </w:pPr>
            <w:r>
              <w:rPr>
                <w:rFonts w:ascii="Calibri" w:hAnsi="Calibri"/>
                <w:b/>
                <w:color w:val="2D6A4F"/>
                <w:sz w:val="20"/>
              </w:rPr>
              <w:t>WHAT WE'D LEVERAGE</w:t>
            </w:r>
          </w:p>
        </w:tc>
        <w:tc>
          <w:tcPr>
            <w:tcW w:w="5040" w:type="dxa"/>
            <w:tcBorders>
              <w:top w:val="single" w:sz="6" w:space="0" w:color="A32D2D"/>
              <w:left w:val="single" w:sz="6" w:space="0" w:color="A32D2D"/>
              <w:bottom w:val="single" w:sz="6" w:space="0" w:color="A32D2D"/>
              <w:right w:val="single" w:sz="6" w:space="0" w:color="A32D2D"/>
            </w:tcBorders>
            <w:shd w:val="clear" w:color="auto" w:fill="F4D9D9"/>
          </w:tcPr>
          <w:p w14:paraId="0D91AD3C" w14:textId="77777777" w:rsidR="00B32A20" w:rsidRDefault="00000000">
            <w:pPr>
              <w:spacing w:after="0"/>
            </w:pPr>
            <w:r>
              <w:rPr>
                <w:rFonts w:ascii="Calibri" w:hAnsi="Calibri"/>
                <w:b/>
                <w:color w:val="A32D2D"/>
                <w:sz w:val="20"/>
              </w:rPr>
              <w:t>WHAT WE'D CHALLENGE</w:t>
            </w:r>
          </w:p>
        </w:tc>
      </w:tr>
      <w:tr w:rsidR="00B32A20" w14:paraId="1F42992B" w14:textId="77777777">
        <w:trPr>
          <w:jc w:val="center"/>
        </w:trPr>
        <w:tc>
          <w:tcPr>
            <w:tcW w:w="5040" w:type="dxa"/>
            <w:tcBorders>
              <w:top w:val="single" w:sz="4" w:space="0" w:color="2D6A4F"/>
              <w:left w:val="single" w:sz="4" w:space="0" w:color="2D6A4F"/>
              <w:bottom w:val="single" w:sz="4" w:space="0" w:color="2D6A4F"/>
              <w:right w:val="single" w:sz="4" w:space="0" w:color="2D6A4F"/>
            </w:tcBorders>
          </w:tcPr>
          <w:p w14:paraId="74AB4AD1" w14:textId="77777777" w:rsidR="00B32A20" w:rsidRDefault="00B32A20">
            <w:pPr>
              <w:spacing w:after="0"/>
            </w:pPr>
          </w:p>
          <w:p w14:paraId="6A623B78" w14:textId="77777777" w:rsidR="00B32A20" w:rsidRDefault="00000000">
            <w:pPr>
              <w:spacing w:after="60"/>
              <w:ind w:left="144"/>
            </w:pPr>
            <w:r>
              <w:rPr>
                <w:rFonts w:ascii="Calibri" w:hAnsi="Calibri"/>
                <w:b/>
                <w:color w:val="2D6A4F"/>
                <w:sz w:val="20"/>
              </w:rPr>
              <w:t xml:space="preserve">▸ </w:t>
            </w:r>
            <w:r>
              <w:rPr>
                <w:rFonts w:ascii="Calibri" w:hAnsi="Calibri"/>
                <w:color w:val="374151"/>
                <w:sz w:val="18"/>
              </w:rPr>
              <w:t xml:space="preserve">Heather Todd's 30+ years franchise DNA. Franchise lifer — </w:t>
            </w:r>
            <w:r>
              <w:rPr>
                <w:rFonts w:ascii="Calibri" w:hAnsi="Calibri"/>
                <w:color w:val="374151"/>
                <w:sz w:val="18"/>
              </w:rPr>
              <w:lastRenderedPageBreak/>
              <w:t>speaks the language.</w:t>
            </w:r>
          </w:p>
          <w:p w14:paraId="55905B0F" w14:textId="77777777" w:rsidR="00B32A20" w:rsidRDefault="00000000">
            <w:pPr>
              <w:spacing w:after="60"/>
              <w:ind w:left="144"/>
            </w:pPr>
            <w:r>
              <w:rPr>
                <w:rFonts w:ascii="Calibri" w:hAnsi="Calibri"/>
                <w:b/>
                <w:color w:val="2D6A4F"/>
                <w:sz w:val="20"/>
              </w:rPr>
              <w:t xml:space="preserve">▸ </w:t>
            </w:r>
            <w:r>
              <w:rPr>
                <w:rFonts w:ascii="Calibri" w:hAnsi="Calibri"/>
                <w:color w:val="374151"/>
                <w:sz w:val="18"/>
              </w:rPr>
              <w:t>Richmond VA proximity to Empower HQ. Direct access to corporate.</w:t>
            </w:r>
          </w:p>
          <w:p w14:paraId="1E0240F1" w14:textId="77777777" w:rsidR="00B32A20" w:rsidRDefault="00000000">
            <w:pPr>
              <w:spacing w:after="60"/>
              <w:ind w:left="144"/>
            </w:pPr>
            <w:r>
              <w:rPr>
                <w:rFonts w:ascii="Calibri" w:hAnsi="Calibri"/>
                <w:b/>
                <w:color w:val="2D6A4F"/>
                <w:sz w:val="20"/>
              </w:rPr>
              <w:t xml:space="preserve">▸ </w:t>
            </w:r>
            <w:r>
              <w:rPr>
                <w:rFonts w:ascii="Calibri" w:hAnsi="Calibri"/>
                <w:color w:val="374151"/>
                <w:sz w:val="18"/>
              </w:rPr>
              <w:t>ServiceMinder confirmed publicly. Open the displacement conversation directly.</w:t>
            </w:r>
          </w:p>
          <w:p w14:paraId="57822601" w14:textId="77777777" w:rsidR="00B32A20" w:rsidRDefault="00000000">
            <w:pPr>
              <w:spacing w:after="60"/>
              <w:ind w:left="144"/>
            </w:pPr>
            <w:r>
              <w:rPr>
                <w:rFonts w:ascii="Calibri" w:hAnsi="Calibri"/>
                <w:b/>
                <w:color w:val="2D6A4F"/>
                <w:sz w:val="20"/>
              </w:rPr>
              <w:t xml:space="preserve">▸ </w:t>
            </w:r>
            <w:r>
              <w:rPr>
                <w:rFonts w:ascii="Calibri" w:hAnsi="Calibri"/>
                <w:color w:val="374151"/>
                <w:sz w:val="18"/>
              </w:rPr>
              <w:t>Recurring irrigation routes. Seasonal start-up, mid-season maintenance, winterization — predictable cycles.</w:t>
            </w:r>
          </w:p>
          <w:p w14:paraId="36F8E701" w14:textId="77777777" w:rsidR="00B32A20" w:rsidRDefault="00000000">
            <w:pPr>
              <w:spacing w:after="60"/>
              <w:ind w:left="144"/>
            </w:pPr>
            <w:r>
              <w:rPr>
                <w:rFonts w:ascii="Calibri" w:hAnsi="Calibri"/>
                <w:b/>
                <w:color w:val="2D6A4F"/>
                <w:sz w:val="20"/>
              </w:rPr>
              <w:t xml:space="preserve">▸ </w:t>
            </w:r>
            <w:r>
              <w:rPr>
                <w:rFonts w:ascii="Calibri" w:hAnsi="Calibri"/>
                <w:color w:val="374151"/>
                <w:sz w:val="18"/>
              </w:rPr>
              <w:t>Commercial contracts upside. Property management contracts are recurring revenue.</w:t>
            </w:r>
          </w:p>
        </w:tc>
        <w:tc>
          <w:tcPr>
            <w:tcW w:w="5040" w:type="dxa"/>
            <w:tcBorders>
              <w:top w:val="single" w:sz="4" w:space="0" w:color="A32D2D"/>
              <w:left w:val="single" w:sz="4" w:space="0" w:color="A32D2D"/>
              <w:bottom w:val="single" w:sz="4" w:space="0" w:color="A32D2D"/>
              <w:right w:val="single" w:sz="4" w:space="0" w:color="A32D2D"/>
            </w:tcBorders>
          </w:tcPr>
          <w:p w14:paraId="05C2E7C2" w14:textId="77777777" w:rsidR="00B32A20" w:rsidRDefault="00B32A20">
            <w:pPr>
              <w:spacing w:after="0"/>
            </w:pPr>
          </w:p>
          <w:p w14:paraId="2141C183" w14:textId="77777777" w:rsidR="00B32A20" w:rsidRDefault="00000000">
            <w:pPr>
              <w:spacing w:after="60"/>
              <w:ind w:left="144"/>
            </w:pPr>
            <w:r>
              <w:rPr>
                <w:rFonts w:ascii="Calibri" w:hAnsi="Calibri"/>
                <w:b/>
                <w:color w:val="A32D2D"/>
                <w:sz w:val="20"/>
              </w:rPr>
              <w:t xml:space="preserve">▸ </w:t>
            </w:r>
            <w:r>
              <w:rPr>
                <w:rFonts w:ascii="Calibri" w:hAnsi="Calibri"/>
                <w:color w:val="374151"/>
                <w:sz w:val="18"/>
              </w:rPr>
              <w:t>ServiceMinder confirmed installed. Switching cost real.</w:t>
            </w:r>
          </w:p>
          <w:p w14:paraId="72A995BB" w14:textId="77777777" w:rsidR="00B32A20" w:rsidRDefault="00000000">
            <w:pPr>
              <w:spacing w:after="60"/>
              <w:ind w:left="144"/>
            </w:pPr>
            <w:r>
              <w:rPr>
                <w:rFonts w:ascii="Calibri" w:hAnsi="Calibri"/>
                <w:b/>
                <w:color w:val="A32D2D"/>
                <w:sz w:val="20"/>
              </w:rPr>
              <w:lastRenderedPageBreak/>
              <w:t xml:space="preserve">▸ </w:t>
            </w:r>
            <w:r>
              <w:rPr>
                <w:rFonts w:ascii="Calibri" w:hAnsi="Calibri"/>
                <w:color w:val="374151"/>
                <w:sz w:val="18"/>
              </w:rPr>
              <w:t>Irrigation-specific software. Hydrawise (Hunter), Rachio Pro, Real Green Cloud target irrigation.</w:t>
            </w:r>
          </w:p>
          <w:p w14:paraId="6EE20A49" w14:textId="77777777" w:rsidR="00B32A20" w:rsidRDefault="00000000">
            <w:pPr>
              <w:spacing w:after="60"/>
              <w:ind w:left="144"/>
            </w:pPr>
            <w:r>
              <w:rPr>
                <w:rFonts w:ascii="Calibri" w:hAnsi="Calibri"/>
                <w:b/>
                <w:color w:val="A32D2D"/>
                <w:sz w:val="20"/>
              </w:rPr>
              <w:t xml:space="preserve">▸ </w:t>
            </w:r>
            <w:r>
              <w:rPr>
                <w:rFonts w:ascii="Calibri" w:hAnsi="Calibri"/>
                <w:color w:val="374151"/>
                <w:sz w:val="18"/>
              </w:rPr>
              <w:t>Smallest cohort tech count. 100 locs · 300 techs · $9K Y1.</w:t>
            </w:r>
          </w:p>
          <w:p w14:paraId="70B18D2D" w14:textId="77777777" w:rsidR="00B32A20" w:rsidRDefault="00000000">
            <w:pPr>
              <w:spacing w:after="60"/>
              <w:ind w:left="144"/>
            </w:pPr>
            <w:r>
              <w:rPr>
                <w:rFonts w:ascii="Calibri" w:hAnsi="Calibri"/>
                <w:b/>
                <w:color w:val="A32D2D"/>
                <w:sz w:val="20"/>
              </w:rPr>
              <w:t xml:space="preserve">▸ </w:t>
            </w:r>
            <w:r>
              <w:rPr>
                <w:rFonts w:ascii="Calibri" w:hAnsi="Calibri"/>
                <w:color w:val="374151"/>
                <w:sz w:val="18"/>
              </w:rPr>
              <w:t>Seasonal regional variance. Sunbelt year-round; northern markets seasonal.</w:t>
            </w:r>
          </w:p>
          <w:p w14:paraId="6681DE86" w14:textId="77777777" w:rsidR="00B32A20" w:rsidRDefault="00000000">
            <w:pPr>
              <w:spacing w:after="60"/>
              <w:ind w:left="144"/>
            </w:pPr>
            <w:r>
              <w:rPr>
                <w:rFonts w:ascii="Calibri" w:hAnsi="Calibri"/>
                <w:b/>
                <w:color w:val="A32D2D"/>
                <w:sz w:val="20"/>
              </w:rPr>
              <w:t xml:space="preserve">▸ </w:t>
            </w:r>
            <w:r>
              <w:rPr>
                <w:rFonts w:ascii="Calibri" w:hAnsi="Calibri"/>
                <w:color w:val="374151"/>
                <w:sz w:val="18"/>
              </w:rPr>
              <w:t>Specialty equipment tracking. Sprinkler heads, valves, controllers — inventory complexity.</w:t>
            </w:r>
          </w:p>
        </w:tc>
      </w:tr>
    </w:tbl>
    <w:p w14:paraId="58FABBF8" w14:textId="77777777" w:rsidR="00B32A20" w:rsidRDefault="00B32A20">
      <w:pPr>
        <w:spacing w:after="80"/>
      </w:pPr>
    </w:p>
    <w:p w14:paraId="2609FF86" w14:textId="77777777" w:rsidR="00B32A20" w:rsidRDefault="00000000">
      <w:pPr>
        <w:spacing w:before="160" w:after="80"/>
      </w:pPr>
      <w:r>
        <w:rPr>
          <w:rFonts w:ascii="Calibri" w:hAnsi="Calibri"/>
          <w:b/>
          <w:color w:val="1A2B3C"/>
          <w:sz w:val="26"/>
        </w:rPr>
        <w:t>PERSONA MAP</w:t>
      </w:r>
    </w:p>
    <w:tbl>
      <w:tblPr>
        <w:tblW w:w="0" w:type="auto"/>
        <w:jc w:val="center"/>
        <w:tblLook w:val="04A0" w:firstRow="1" w:lastRow="0" w:firstColumn="1" w:lastColumn="0" w:noHBand="0" w:noVBand="1"/>
      </w:tblPr>
      <w:tblGrid>
        <w:gridCol w:w="2878"/>
        <w:gridCol w:w="5034"/>
        <w:gridCol w:w="2158"/>
      </w:tblGrid>
      <w:tr w:rsidR="00B32A20" w14:paraId="461F22CF" w14:textId="77777777">
        <w:trPr>
          <w:jc w:val="center"/>
        </w:trPr>
        <w:tc>
          <w:tcPr>
            <w:tcW w:w="2880" w:type="dxa"/>
            <w:tcBorders>
              <w:top w:val="single" w:sz="4" w:space="0" w:color="1A2B3C"/>
              <w:left w:val="single" w:sz="4" w:space="0" w:color="1A2B3C"/>
              <w:bottom w:val="single" w:sz="4" w:space="0" w:color="1A2B3C"/>
              <w:right w:val="single" w:sz="4" w:space="0" w:color="1A2B3C"/>
            </w:tcBorders>
            <w:shd w:val="clear" w:color="auto" w:fill="1A2B3C"/>
          </w:tcPr>
          <w:p w14:paraId="689C76C4" w14:textId="77777777" w:rsidR="00B32A20" w:rsidRDefault="00000000">
            <w:pPr>
              <w:spacing w:after="0"/>
            </w:pPr>
            <w:r>
              <w:rPr>
                <w:rFonts w:ascii="Calibri" w:hAnsi="Calibri"/>
                <w:b/>
                <w:color w:val="FFFFFF"/>
                <w:sz w:val="18"/>
              </w:rPr>
              <w:t>NAME &amp; ROLE</w:t>
            </w:r>
          </w:p>
        </w:tc>
        <w:tc>
          <w:tcPr>
            <w:tcW w:w="5040" w:type="dxa"/>
            <w:tcBorders>
              <w:top w:val="single" w:sz="4" w:space="0" w:color="1A2B3C"/>
              <w:left w:val="single" w:sz="4" w:space="0" w:color="1A2B3C"/>
              <w:bottom w:val="single" w:sz="4" w:space="0" w:color="1A2B3C"/>
              <w:right w:val="single" w:sz="4" w:space="0" w:color="1A2B3C"/>
            </w:tcBorders>
            <w:shd w:val="clear" w:color="auto" w:fill="1A2B3C"/>
          </w:tcPr>
          <w:p w14:paraId="55853B28" w14:textId="77777777" w:rsidR="00B32A20" w:rsidRDefault="00000000">
            <w:pPr>
              <w:spacing w:after="0"/>
            </w:pPr>
            <w:r>
              <w:rPr>
                <w:rFonts w:ascii="Calibri" w:hAnsi="Calibri"/>
                <w:b/>
                <w:color w:val="FFFFFF"/>
                <w:sz w:val="18"/>
              </w:rPr>
              <w:t>WHY THEY MATTER</w:t>
            </w:r>
          </w:p>
        </w:tc>
        <w:tc>
          <w:tcPr>
            <w:tcW w:w="2160" w:type="dxa"/>
            <w:tcBorders>
              <w:top w:val="single" w:sz="4" w:space="0" w:color="1A2B3C"/>
              <w:left w:val="single" w:sz="4" w:space="0" w:color="1A2B3C"/>
              <w:bottom w:val="single" w:sz="4" w:space="0" w:color="1A2B3C"/>
              <w:right w:val="single" w:sz="4" w:space="0" w:color="1A2B3C"/>
            </w:tcBorders>
            <w:shd w:val="clear" w:color="auto" w:fill="1A2B3C"/>
          </w:tcPr>
          <w:p w14:paraId="733B5454" w14:textId="77777777" w:rsidR="00B32A20" w:rsidRDefault="00000000">
            <w:pPr>
              <w:spacing w:after="0"/>
            </w:pPr>
            <w:r>
              <w:rPr>
                <w:rFonts w:ascii="Calibri" w:hAnsi="Calibri"/>
                <w:b/>
                <w:color w:val="FFFFFF"/>
                <w:sz w:val="18"/>
              </w:rPr>
              <w:t>PATH</w:t>
            </w:r>
          </w:p>
        </w:tc>
      </w:tr>
      <w:tr w:rsidR="00B32A20" w14:paraId="129BE29E"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7F8FA"/>
          </w:tcPr>
          <w:p w14:paraId="338748A0" w14:textId="77777777" w:rsidR="00B32A20" w:rsidRDefault="00000000">
            <w:pPr>
              <w:spacing w:after="0"/>
            </w:pPr>
            <w:r>
              <w:rPr>
                <w:rFonts w:ascii="Calibri" w:hAnsi="Calibri"/>
                <w:b/>
                <w:color w:val="1A2B3C"/>
                <w:sz w:val="18"/>
              </w:rPr>
              <w:t>Heather Todd</w:t>
            </w:r>
          </w:p>
          <w:p w14:paraId="67F9EB67" w14:textId="77777777" w:rsidR="00B32A20" w:rsidRDefault="00000000">
            <w:pPr>
              <w:spacing w:after="0"/>
            </w:pPr>
            <w:r>
              <w:rPr>
                <w:rFonts w:ascii="Calibri" w:hAnsi="Calibri"/>
                <w:color w:val="6B7280"/>
                <w:sz w:val="16"/>
              </w:rPr>
              <w:t>Brand President · Conserva (Richmond VA)</w:t>
            </w:r>
          </w:p>
        </w:tc>
        <w:tc>
          <w:tcPr>
            <w:tcW w:w="5040" w:type="dxa"/>
            <w:tcBorders>
              <w:top w:val="single" w:sz="4" w:space="0" w:color="CCCCCC"/>
              <w:left w:val="single" w:sz="4" w:space="0" w:color="CCCCCC"/>
              <w:bottom w:val="single" w:sz="4" w:space="0" w:color="CCCCCC"/>
              <w:right w:val="single" w:sz="4" w:space="0" w:color="CCCCCC"/>
            </w:tcBorders>
          </w:tcPr>
          <w:p w14:paraId="79C8C0FB" w14:textId="77777777" w:rsidR="00B32A20" w:rsidRDefault="00000000">
            <w:pPr>
              <w:spacing w:after="0"/>
            </w:pPr>
            <w:r>
              <w:rPr>
                <w:rFonts w:ascii="Calibri" w:hAnsi="Calibri"/>
                <w:color w:val="374151"/>
                <w:sz w:val="18"/>
              </w:rPr>
              <w:t>30+ years franchise DNA. Lives near Empower HQ. Operator-language fluent.</w:t>
            </w:r>
          </w:p>
        </w:tc>
        <w:tc>
          <w:tcPr>
            <w:tcW w:w="2160" w:type="dxa"/>
            <w:tcBorders>
              <w:top w:val="single" w:sz="4" w:space="0" w:color="CCCCCC"/>
              <w:left w:val="single" w:sz="4" w:space="0" w:color="CCCCCC"/>
              <w:bottom w:val="single" w:sz="4" w:space="0" w:color="CCCCCC"/>
              <w:right w:val="single" w:sz="4" w:space="0" w:color="CCCCCC"/>
            </w:tcBorders>
          </w:tcPr>
          <w:p w14:paraId="25A052F9" w14:textId="77777777" w:rsidR="00B32A20" w:rsidRDefault="00000000">
            <w:pPr>
              <w:spacing w:after="0"/>
            </w:pPr>
            <w:r>
              <w:rPr>
                <w:rFonts w:ascii="Calibri" w:hAnsi="Calibri"/>
                <w:b/>
                <w:color w:val="2D6A4F"/>
                <w:sz w:val="18"/>
              </w:rPr>
              <w:t>★ LinkedIn warm</w:t>
            </w:r>
          </w:p>
        </w:tc>
      </w:tr>
      <w:tr w:rsidR="00B32A20" w14:paraId="3A407DA1"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7F8FA"/>
          </w:tcPr>
          <w:p w14:paraId="015177CE" w14:textId="77777777" w:rsidR="00B32A20" w:rsidRDefault="00000000">
            <w:pPr>
              <w:spacing w:after="0"/>
            </w:pPr>
            <w:r>
              <w:rPr>
                <w:rFonts w:ascii="Calibri" w:hAnsi="Calibri"/>
                <w:b/>
                <w:color w:val="1A2B3C"/>
                <w:sz w:val="18"/>
              </w:rPr>
              <w:t>Scott Zide</w:t>
            </w:r>
          </w:p>
          <w:p w14:paraId="2D6DDA5A" w14:textId="77777777" w:rsidR="00B32A20" w:rsidRDefault="00000000">
            <w:pPr>
              <w:spacing w:after="0"/>
            </w:pPr>
            <w:r>
              <w:rPr>
                <w:rFonts w:ascii="Calibri" w:hAnsi="Calibri"/>
                <w:color w:val="6B7280"/>
                <w:sz w:val="16"/>
              </w:rPr>
              <w:t>CEO · Empower</w:t>
            </w:r>
          </w:p>
        </w:tc>
        <w:tc>
          <w:tcPr>
            <w:tcW w:w="5040" w:type="dxa"/>
            <w:tcBorders>
              <w:top w:val="single" w:sz="4" w:space="0" w:color="CCCCCC"/>
              <w:left w:val="single" w:sz="4" w:space="0" w:color="CCCCCC"/>
              <w:bottom w:val="single" w:sz="4" w:space="0" w:color="CCCCCC"/>
              <w:right w:val="single" w:sz="4" w:space="0" w:color="CCCCCC"/>
            </w:tcBorders>
          </w:tcPr>
          <w:p w14:paraId="6A5E713B" w14:textId="77777777" w:rsidR="00B32A20" w:rsidRDefault="00000000">
            <w:pPr>
              <w:spacing w:after="0"/>
            </w:pPr>
            <w:r>
              <w:rPr>
                <w:rFonts w:ascii="Calibri" w:hAnsi="Calibri"/>
                <w:color w:val="374151"/>
                <w:sz w:val="18"/>
              </w:rPr>
              <w:t>Co-founded OLB. Conserva is in the family.</w:t>
            </w:r>
          </w:p>
        </w:tc>
        <w:tc>
          <w:tcPr>
            <w:tcW w:w="2160" w:type="dxa"/>
            <w:tcBorders>
              <w:top w:val="single" w:sz="4" w:space="0" w:color="CCCCCC"/>
              <w:left w:val="single" w:sz="4" w:space="0" w:color="CCCCCC"/>
              <w:bottom w:val="single" w:sz="4" w:space="0" w:color="CCCCCC"/>
              <w:right w:val="single" w:sz="4" w:space="0" w:color="CCCCCC"/>
            </w:tcBorders>
          </w:tcPr>
          <w:p w14:paraId="442AD52A" w14:textId="77777777" w:rsidR="00B32A20" w:rsidRDefault="00000000">
            <w:pPr>
              <w:spacing w:after="0"/>
            </w:pPr>
            <w:r>
              <w:rPr>
                <w:rFonts w:ascii="Calibri" w:hAnsi="Calibri"/>
                <w:b/>
                <w:color w:val="2D6A4F"/>
                <w:sz w:val="18"/>
              </w:rPr>
              <w:t>★ Convention</w:t>
            </w:r>
          </w:p>
        </w:tc>
      </w:tr>
    </w:tbl>
    <w:p w14:paraId="57206D5E" w14:textId="77777777" w:rsidR="00B32A20" w:rsidRDefault="00B32A20">
      <w:pPr>
        <w:spacing w:after="80"/>
      </w:pPr>
    </w:p>
    <w:p w14:paraId="12108DDC" w14:textId="77777777" w:rsidR="00B32A20" w:rsidRDefault="00000000">
      <w:pPr>
        <w:spacing w:before="160" w:after="80"/>
      </w:pPr>
      <w:r>
        <w:rPr>
          <w:rFonts w:ascii="Calibri" w:hAnsi="Calibri"/>
          <w:b/>
          <w:color w:val="1A2B3C"/>
          <w:sz w:val="26"/>
        </w:rPr>
        <w:t>EVENTS TO ENGAGE</w:t>
      </w:r>
    </w:p>
    <w:p w14:paraId="201EFB2E" w14:textId="77777777" w:rsidR="00B32A20" w:rsidRDefault="00000000">
      <w:pPr>
        <w:spacing w:after="40"/>
        <w:ind w:left="144"/>
      </w:pPr>
      <w:r>
        <w:rPr>
          <w:rFonts w:ascii="Calibri" w:hAnsi="Calibri"/>
          <w:b/>
          <w:color w:val="185FA5"/>
          <w:sz w:val="18"/>
        </w:rPr>
        <w:t xml:space="preserve">Feb (annual)  ·  </w:t>
      </w:r>
      <w:r>
        <w:rPr>
          <w:rFonts w:ascii="Calibri" w:hAnsi="Calibri"/>
          <w:b/>
          <w:color w:val="1A2B3C"/>
          <w:sz w:val="20"/>
        </w:rPr>
        <w:t>Ignite Conference (Richmond)</w:t>
      </w:r>
    </w:p>
    <w:p w14:paraId="5F96C769" w14:textId="77777777" w:rsidR="00B32A20" w:rsidRDefault="00000000">
      <w:pPr>
        <w:spacing w:after="80"/>
        <w:ind w:left="576"/>
      </w:pPr>
      <w:r>
        <w:rPr>
          <w:rFonts w:ascii="Calibri" w:hAnsi="Calibri"/>
          <w:color w:val="374151"/>
          <w:sz w:val="18"/>
        </w:rPr>
        <w:t>Empower flagship.</w:t>
      </w:r>
    </w:p>
    <w:p w14:paraId="366CEDB9" w14:textId="77777777" w:rsidR="00B32A20" w:rsidRDefault="00000000">
      <w:pPr>
        <w:spacing w:after="40"/>
        <w:ind w:left="144"/>
      </w:pPr>
      <w:r>
        <w:rPr>
          <w:rFonts w:ascii="Calibri" w:hAnsi="Calibri"/>
          <w:b/>
          <w:color w:val="185FA5"/>
          <w:sz w:val="18"/>
        </w:rPr>
        <w:t xml:space="preserve">Annual (Nov)  ·  </w:t>
      </w:r>
      <w:r>
        <w:rPr>
          <w:rFonts w:ascii="Calibri" w:hAnsi="Calibri"/>
          <w:b/>
          <w:color w:val="1A2B3C"/>
          <w:sz w:val="20"/>
        </w:rPr>
        <w:t>Irrigation Show (IA)</w:t>
      </w:r>
    </w:p>
    <w:p w14:paraId="0BE89F3D" w14:textId="77777777" w:rsidR="00B32A20" w:rsidRDefault="00000000">
      <w:pPr>
        <w:spacing w:after="80"/>
        <w:ind w:left="576"/>
      </w:pPr>
      <w:r>
        <w:rPr>
          <w:rFonts w:ascii="Calibri" w:hAnsi="Calibri"/>
          <w:color w:val="374151"/>
          <w:sz w:val="18"/>
        </w:rPr>
        <w:t>Irrigation Association annual. Vendor showcase.</w:t>
      </w:r>
    </w:p>
    <w:p w14:paraId="76319025" w14:textId="77777777" w:rsidR="00B32A20" w:rsidRDefault="00000000">
      <w:pPr>
        <w:spacing w:after="40"/>
        <w:ind w:left="144"/>
      </w:pPr>
      <w:r>
        <w:rPr>
          <w:rFonts w:ascii="Calibri" w:hAnsi="Calibri"/>
          <w:b/>
          <w:color w:val="185FA5"/>
          <w:sz w:val="18"/>
        </w:rPr>
        <w:t xml:space="preserve">Oct (annual)  ·  </w:t>
      </w:r>
      <w:r>
        <w:rPr>
          <w:rFonts w:ascii="Calibri" w:hAnsi="Calibri"/>
          <w:b/>
          <w:color w:val="1A2B3C"/>
          <w:sz w:val="20"/>
        </w:rPr>
        <w:t>GIE+EXPO Louisville</w:t>
      </w:r>
    </w:p>
    <w:p w14:paraId="6673C2FE" w14:textId="77777777" w:rsidR="00B32A20" w:rsidRDefault="00000000">
      <w:pPr>
        <w:spacing w:after="80"/>
        <w:ind w:left="576"/>
      </w:pPr>
      <w:r>
        <w:rPr>
          <w:rFonts w:ascii="Calibri" w:hAnsi="Calibri"/>
          <w:color w:val="374151"/>
          <w:sz w:val="18"/>
        </w:rPr>
        <w:t>Outdoor industry expo.</w:t>
      </w:r>
    </w:p>
    <w:p w14:paraId="020C652A" w14:textId="77777777" w:rsidR="00B32A20" w:rsidRDefault="00000000">
      <w:pPr>
        <w:spacing w:before="160" w:after="80"/>
      </w:pPr>
      <w:r>
        <w:rPr>
          <w:rFonts w:ascii="Calibri" w:hAnsi="Calibri"/>
          <w:b/>
          <w:color w:val="6B7280"/>
        </w:rPr>
        <w:t>HOW WE SCORED THIS</w:t>
      </w:r>
    </w:p>
    <w:p w14:paraId="3091BC66" w14:textId="77777777" w:rsidR="00B32A20" w:rsidRDefault="00000000">
      <w:pPr>
        <w:spacing w:after="120" w:line="300" w:lineRule="auto"/>
      </w:pPr>
      <w:r>
        <w:rPr>
          <w:rFonts w:ascii="Calibri" w:hAnsi="Calibri"/>
          <w:i/>
          <w:color w:val="374151"/>
          <w:sz w:val="20"/>
        </w:rPr>
        <w:t>Score 61 (T5 NorthStar) per Track 2 v2 matrix. Drivers: 100% engageable, recurring route ServiceBridge fit, Heather Todd 30+yr franchise DNA, Richmond proximity to Empower HQ. Reduced by ServiceMinder confirmed install + irrigation-specific SaaS competition. Empower parent +25 bonus.</w:t>
      </w:r>
    </w:p>
    <w:p w14:paraId="61F55B1D" w14:textId="77777777" w:rsidR="00B32A20" w:rsidRDefault="00000000">
      <w:pPr>
        <w:spacing w:before="160" w:after="80"/>
      </w:pPr>
      <w:r>
        <w:rPr>
          <w:rFonts w:ascii="Calibri" w:hAnsi="Calibri"/>
          <w:b/>
          <w:color w:val="1A2B3C"/>
        </w:rPr>
        <w:t>SIGN-OFF &amp; NEXT STEPS</w:t>
      </w:r>
    </w:p>
    <w:tbl>
      <w:tblPr>
        <w:tblW w:w="0" w:type="auto"/>
        <w:jc w:val="center"/>
        <w:tblLook w:val="04A0" w:firstRow="1" w:lastRow="0" w:firstColumn="1" w:lastColumn="0" w:noHBand="0" w:noVBand="1"/>
      </w:tblPr>
      <w:tblGrid>
        <w:gridCol w:w="2878"/>
        <w:gridCol w:w="7192"/>
      </w:tblGrid>
      <w:tr w:rsidR="00B32A20" w14:paraId="791894F9"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7F8FA"/>
          </w:tcPr>
          <w:p w14:paraId="1CB55203" w14:textId="77777777" w:rsidR="00B32A20" w:rsidRDefault="00000000">
            <w:pPr>
              <w:spacing w:after="0"/>
            </w:pPr>
            <w:r>
              <w:rPr>
                <w:rFonts w:ascii="Calibri" w:hAnsi="Calibri"/>
                <w:b/>
                <w:color w:val="1A2B3C"/>
                <w:sz w:val="18"/>
              </w:rPr>
              <w:t>Owner</w:t>
            </w:r>
          </w:p>
        </w:tc>
        <w:tc>
          <w:tcPr>
            <w:tcW w:w="7200" w:type="dxa"/>
            <w:tcBorders>
              <w:top w:val="single" w:sz="4" w:space="0" w:color="CCCCCC"/>
              <w:left w:val="single" w:sz="4" w:space="0" w:color="CCCCCC"/>
              <w:bottom w:val="single" w:sz="4" w:space="0" w:color="CCCCCC"/>
              <w:right w:val="single" w:sz="4" w:space="0" w:color="CCCCCC"/>
            </w:tcBorders>
          </w:tcPr>
          <w:p w14:paraId="7317F4D5" w14:textId="77777777" w:rsidR="00B32A20" w:rsidRDefault="00000000">
            <w:pPr>
              <w:spacing w:after="0"/>
            </w:pPr>
            <w:r>
              <w:rPr>
                <w:rFonts w:ascii="Calibri" w:hAnsi="Calibri"/>
                <w:color w:val="374151"/>
                <w:sz w:val="18"/>
              </w:rPr>
              <w:t>Mike Flynt · Velocity GTM Co LLC</w:t>
            </w:r>
          </w:p>
        </w:tc>
      </w:tr>
      <w:tr w:rsidR="00B32A20" w14:paraId="136349E0"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7F8FA"/>
          </w:tcPr>
          <w:p w14:paraId="3F180F91" w14:textId="77777777" w:rsidR="00B32A20" w:rsidRDefault="00000000">
            <w:pPr>
              <w:spacing w:after="0"/>
            </w:pPr>
            <w:r>
              <w:rPr>
                <w:rFonts w:ascii="Calibri" w:hAnsi="Calibri"/>
                <w:b/>
                <w:color w:val="1A2B3C"/>
                <w:sz w:val="18"/>
              </w:rPr>
              <w:t>GPSI Coordination</w:t>
            </w:r>
          </w:p>
        </w:tc>
        <w:tc>
          <w:tcPr>
            <w:tcW w:w="7200" w:type="dxa"/>
            <w:tcBorders>
              <w:top w:val="single" w:sz="4" w:space="0" w:color="CCCCCC"/>
              <w:left w:val="single" w:sz="4" w:space="0" w:color="CCCCCC"/>
              <w:bottom w:val="single" w:sz="4" w:space="0" w:color="CCCCCC"/>
              <w:right w:val="single" w:sz="4" w:space="0" w:color="CCCCCC"/>
            </w:tcBorders>
          </w:tcPr>
          <w:p w14:paraId="1919F1F0" w14:textId="77777777" w:rsidR="00B32A20" w:rsidRDefault="00000000">
            <w:pPr>
              <w:spacing w:after="0"/>
            </w:pPr>
            <w:r>
              <w:rPr>
                <w:rFonts w:ascii="Calibri" w:hAnsi="Calibri"/>
                <w:color w:val="374151"/>
                <w:sz w:val="18"/>
              </w:rPr>
              <w:t>Andrea Rowan (GM ServiceBridge), Charles Layne (CEO), Garrett Else (CFO)</w:t>
            </w:r>
          </w:p>
        </w:tc>
      </w:tr>
      <w:tr w:rsidR="00B32A20" w14:paraId="35284332"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7F8FA"/>
          </w:tcPr>
          <w:p w14:paraId="6315C700" w14:textId="77777777" w:rsidR="00B32A20" w:rsidRDefault="00000000">
            <w:pPr>
              <w:spacing w:after="0"/>
            </w:pPr>
            <w:r>
              <w:rPr>
                <w:rFonts w:ascii="Calibri" w:hAnsi="Calibri"/>
                <w:b/>
                <w:color w:val="1A2B3C"/>
                <w:sz w:val="18"/>
              </w:rPr>
              <w:t>Source of truth</w:t>
            </w:r>
          </w:p>
        </w:tc>
        <w:tc>
          <w:tcPr>
            <w:tcW w:w="7200" w:type="dxa"/>
            <w:tcBorders>
              <w:top w:val="single" w:sz="4" w:space="0" w:color="CCCCCC"/>
              <w:left w:val="single" w:sz="4" w:space="0" w:color="CCCCCC"/>
              <w:bottom w:val="single" w:sz="4" w:space="0" w:color="CCCCCC"/>
              <w:right w:val="single" w:sz="4" w:space="0" w:color="CCCCCC"/>
            </w:tcBorders>
          </w:tcPr>
          <w:p w14:paraId="558046C8" w14:textId="77777777" w:rsidR="00B32A20" w:rsidRDefault="00000000">
            <w:pPr>
              <w:spacing w:after="0"/>
            </w:pPr>
            <w:r>
              <w:rPr>
                <w:rFonts w:ascii="Calibri" w:hAnsi="Calibri"/>
                <w:color w:val="374151"/>
                <w:sz w:val="18"/>
              </w:rPr>
              <w:t>Track 2 P1+P2 Brand Priority Matrix v2 · CRM v15.6 · Empower Brands parent context</w:t>
            </w:r>
          </w:p>
        </w:tc>
      </w:tr>
      <w:tr w:rsidR="00B32A20" w14:paraId="65C1FD61"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7F8FA"/>
          </w:tcPr>
          <w:p w14:paraId="64A69527" w14:textId="77777777" w:rsidR="00B32A20" w:rsidRDefault="00000000">
            <w:pPr>
              <w:spacing w:after="0"/>
            </w:pPr>
            <w:r>
              <w:rPr>
                <w:rFonts w:ascii="Calibri" w:hAnsi="Calibri"/>
                <w:b/>
                <w:color w:val="1A2B3C"/>
                <w:sz w:val="18"/>
              </w:rPr>
              <w:t>Document version</w:t>
            </w:r>
          </w:p>
        </w:tc>
        <w:tc>
          <w:tcPr>
            <w:tcW w:w="7200" w:type="dxa"/>
            <w:tcBorders>
              <w:top w:val="single" w:sz="4" w:space="0" w:color="CCCCCC"/>
              <w:left w:val="single" w:sz="4" w:space="0" w:color="CCCCCC"/>
              <w:bottom w:val="single" w:sz="4" w:space="0" w:color="CCCCCC"/>
              <w:right w:val="single" w:sz="4" w:space="0" w:color="CCCCCC"/>
            </w:tcBorders>
          </w:tcPr>
          <w:p w14:paraId="65B4D7A7" w14:textId="77777777" w:rsidR="00B32A20" w:rsidRDefault="00000000">
            <w:pPr>
              <w:spacing w:after="0"/>
            </w:pPr>
            <w:r>
              <w:rPr>
                <w:rFonts w:ascii="Calibri" w:hAnsi="Calibri"/>
                <w:color w:val="374151"/>
                <w:sz w:val="18"/>
              </w:rPr>
              <w:t>v1.0 · May 1, 2026 · ServiceBridge GTM Engagement</w:t>
            </w:r>
          </w:p>
        </w:tc>
      </w:tr>
    </w:tbl>
    <w:p w14:paraId="5E2258AA" w14:textId="77777777" w:rsidR="00E00E6C" w:rsidRDefault="00E00E6C"/>
    <w:sectPr w:rsidR="00E00E6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484431">
    <w:abstractNumId w:val="8"/>
  </w:num>
  <w:num w:numId="2" w16cid:durableId="1604386896">
    <w:abstractNumId w:val="6"/>
  </w:num>
  <w:num w:numId="3" w16cid:durableId="2109346131">
    <w:abstractNumId w:val="5"/>
  </w:num>
  <w:num w:numId="4" w16cid:durableId="513303968">
    <w:abstractNumId w:val="4"/>
  </w:num>
  <w:num w:numId="5" w16cid:durableId="1819616214">
    <w:abstractNumId w:val="7"/>
  </w:num>
  <w:num w:numId="6" w16cid:durableId="913585511">
    <w:abstractNumId w:val="3"/>
  </w:num>
  <w:num w:numId="7" w16cid:durableId="222764191">
    <w:abstractNumId w:val="2"/>
  </w:num>
  <w:num w:numId="8" w16cid:durableId="1840391605">
    <w:abstractNumId w:val="1"/>
  </w:num>
  <w:num w:numId="9" w16cid:durableId="11515549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369F7"/>
    <w:rsid w:val="00AA1D8D"/>
    <w:rsid w:val="00B32A20"/>
    <w:rsid w:val="00B47730"/>
    <w:rsid w:val="00C87FA5"/>
    <w:rsid w:val="00CB0664"/>
    <w:rsid w:val="00E00E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FDCD05"/>
  <w14:defaultImageDpi w14:val="300"/>
  <w15:docId w15:val="{8878434A-7819-B345-9CD7-8F589FCDB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663</Words>
  <Characters>3784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Flynt</cp:lastModifiedBy>
  <cp:revision>2</cp:revision>
  <dcterms:created xsi:type="dcterms:W3CDTF">2026-05-01T17:51:00Z</dcterms:created>
  <dcterms:modified xsi:type="dcterms:W3CDTF">2026-05-01T17:51:00Z</dcterms:modified>
  <cp:category/>
</cp:coreProperties>
</file>