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2B3C"/>
          <w:sz w:val="24"/>
          <w:szCs w:val="24"/>
        </w:rPr>
        <w:t xml:space="preserve">Velocity GTM Co  ·  Action Tracker  ·  May 13 meeting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 ·    Internal working document  ·  Updated May 12, 2026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2B3C"/>
          <w:sz w:val="32"/>
          <w:szCs w:val="32"/>
        </w:rPr>
        <w:t xml:space="preserve">Action Tracker  ·  May 13 Meeting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Whale hunt focus meeting with Andrea + Garrett  ·  4 asks active  ·  Status as of May 12 evening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gridSpan w:val="1"/>
            <w:shd w:fill="1A2B3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CONTEXT  ·  Why we're meeting today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color w:val="1A2B3C"/>
          <w:sz w:val="20"/>
          <w:szCs w:val="20"/>
        </w:rPr>
        <w:t xml:space="preserve">The whale hunt is mid-flight.  </w:t>
      </w: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Charles activated two PE-side warm paths May 5 — Eric Roth (MidOcean / Empower) and Lexington Halbert → Joseph Trahan (Princeton / Five Star). Both Day 7 as of May 12, no response. ResiBrands PE path identified May 12: Jonathan Patton (Managing Partner, Trivium Global) — Charles to send LinkedIn outreach this week (gated on my conversation with Charles). I sent Andrea LinkedIn-profile alignment note May 11 — Day 1, pending. Today's meeting is about closing the loop on last week's three asks and aligning on four new asks I need to drive forward this week.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2B3C"/>
          <w:sz w:val="20"/>
          <w:szCs w:val="20"/>
        </w:rPr>
        <w:t xml:space="preserve">Whale economics  (per franchisor):  </w:t>
      </w: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1,000-tech deployment ≈ $300K Y1 ARR  ·  3 whales combined ≈ $900K  ·  Trident path = President + CFO + Business Development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1A2B3C"/>
          <w:sz w:val="20"/>
          <w:szCs w:val="20"/>
        </w:rPr>
        <w:t xml:space="preserve">May 19 convergence:  </w:t>
      </w: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Day-14 nudge trigger for Eric Roth + Lexington/Trahan + Andrea profile note. Aligning framing this week.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2"/>
          <w:insideV w:val="single" w:color="888888" w:sz="2"/>
        </w:tblBorders>
      </w:tblPr>
      <w:tblGrid>
        <w:gridCol w:w="500"/>
        <w:gridCol w:w="6200"/>
        <w:gridCol w:w="1200"/>
        <w:gridCol w:w="1000"/>
        <w:gridCol w:w="1100"/>
      </w:tblGrid>
      <w:tr>
        <w:tc>
          <w:tcPr>
            <w:gridSpan w:val="5"/>
            <w:shd w:fill="1A2B3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FOUR ASKS FOR THIS WEEK  ·  Live commitments needed today</w:t>
            </w:r>
          </w:p>
        </w:tc>
      </w:tr>
      <w:tr>
        <w:trPr>
          <w:tblHeader/>
        </w:trPr>
        <w:tc>
          <w:tcPr>
            <w:tcW w:type="dxa" w:w="5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DUE</w:t>
            </w:r>
          </w:p>
        </w:tc>
        <w:tc>
          <w:tcPr>
            <w:tcW w:type="dxa" w:w="11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PE meeting engagement setup with the three whales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Eric Roth (MidOcean / Empower) Day 7, no response. Joseph Trahan (Princeton / Five Star) Day 7, Lexington forward unconfirmed. Jonathan Patton (Trivium / ResiBrands) outreach not yet sent, gated on my conversation with Charles. Need Andrea + Garrett's read on escalate / switch channel / hold pattern at each. Plus direct paths in their networks to Roth, Trahan, or Patton that could accelerate.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 + Garrett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13 meeting</w:t>
            </w:r>
          </w:p>
        </w:tc>
        <w:tc>
          <w:tcPr>
            <w:tcW w:type="dxa" w:w="1100"/>
            <w:shd w:fill="F4EA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⏳  ASK LIVE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Challenge coin client touch — review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Velocity GTM coin design complete (v18). Response-gated send-out: when PE-side target responds to Charles, Charles asks for UPS address inside response thread, coin ships with brief handwritten note. ResiBrands play: 4-coin send with Patton-hand-delivery-to-Steven ask baked into Charles's outreach. Need team review of design + alignment on send-out triggers before first coin ships.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 + Garrett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13 meeting</w:t>
            </w:r>
          </w:p>
        </w:tc>
        <w:tc>
          <w:tcPr>
            <w:tcW w:type="dxa" w:w="1100"/>
            <w:shd w:fill="F4EA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⏳  ASK LIVE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Pitchbook update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Originally requested Apr 28. Status check needed. Important framing: Pitchbook is a credibility upgrade for PE + franchisor conversations, NOT a gating dependency. If we get it, we use verified institutional data. If we don't, we move forward with industry benchmarks (GF Data + 2025 home services comps). The 89x leverage ratio holds either way. Need clear go / no-go so I can plan accordingly.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13 meeting</w:t>
            </w:r>
          </w:p>
        </w:tc>
        <w:tc>
          <w:tcPr>
            <w:tcW w:type="dxa" w:w="1100"/>
            <w:shd w:fill="F4EA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⏳  ASK LIVE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My LinkedIn information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LinkedIn-profile alignment note sent to Andrea May 11. Proposed title: "GPS Insight / ServiceBridge — Fractional GTM Sales Leader (under contract via Velocity GTM Co)." Day 1 pending. Gates the May 21 Empower LinkedIn campaign launch (8 personalized invites to Empower DMU). Decision needed by May 19.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13 meeting</w:t>
            </w:r>
          </w:p>
        </w:tc>
        <w:tc>
          <w:tcPr>
            <w:tcW w:type="dxa" w:w="1100"/>
            <w:shd w:fill="F4EA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⏳  ASK LIVE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2"/>
          <w:insideV w:val="single" w:color="888888" w:sz="2"/>
        </w:tblBorders>
      </w:tblPr>
      <w:tblGrid>
        <w:gridCol w:w="500"/>
        <w:gridCol w:w="6200"/>
        <w:gridCol w:w="1200"/>
        <w:gridCol w:w="1000"/>
        <w:gridCol w:w="1100"/>
      </w:tblGrid>
      <w:tr>
        <w:tc>
          <w:tcPr>
            <w:gridSpan w:val="5"/>
            <w:shd w:fill="1A2B3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CARRY-OVER ASKS FROM MAY 6  ·  Status check</w:t>
            </w:r>
          </w:p>
        </w:tc>
      </w:tr>
      <w:tr>
        <w:trPr>
          <w:tblHeader/>
        </w:trPr>
        <w:tc>
          <w:tcPr>
            <w:tcW w:type="dxa" w:w="5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DUE</w:t>
            </w:r>
          </w:p>
        </w:tc>
        <w:tc>
          <w:tcPr>
            <w:tcW w:type="dxa" w:w="11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5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BELFOR HOODZ + DUCTZ playbook walkthrough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from May 6. 94% adoption pattern is the proof point we need to replicate at Empower, ResiBrands, Five Star. Need: who drove it, what was the change-management approach, what role did GPSI/SB play? Now mapped to Tier 2 (Implementation Support) of the Network Partner Program in all three franchisor packages.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 + GPSI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13 meeting</w:t>
            </w:r>
          </w:p>
        </w:tc>
        <w:tc>
          <w:tcPr>
            <w:tcW w:type="dxa" w:w="1100"/>
            <w:shd w:fill="F4EA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⏳  NEED COMMITMENT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6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Pitchbook research via Accel-KKR deal team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from May 6. See Ask #3 above. Note: Trivium vs Trivest discrepancy at ResiBrands resolved May 12 — confirmed Trivium Global + Contrarian Thinking, NOT Trivest. Other data points still relevant: Empower exit timing (5.5yr hold), Princeton's hold position at Five Star.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13 meeting</w:t>
            </w:r>
          </w:p>
        </w:tc>
        <w:tc>
          <w:tcPr>
            <w:tcW w:type="dxa" w:w="1100"/>
            <w:shd w:fill="F4EA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⏳  NEED STATUS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7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Warm-intro paths to PE networks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from May 6. Charles activated 2 of 3 paths May 5 (Roth + Lexington/Trahan). ResiBrands path identified: Jonathan Patton at Trivium Global. Andrea + Garrett's networks: anyone with paths to Roth, Trahan, Patton, or directly to the franchisor DMUs?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 + Garrett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13 meeting</w:t>
            </w:r>
          </w:p>
        </w:tc>
        <w:tc>
          <w:tcPr>
            <w:tcW w:type="dxa" w:w="1100"/>
            <w:shd w:fill="F4EA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⏳  NEED NAMES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2"/>
          <w:insideV w:val="single" w:color="888888" w:sz="2"/>
        </w:tblBorders>
      </w:tblPr>
      <w:tblGrid>
        <w:gridCol w:w="500"/>
        <w:gridCol w:w="6200"/>
        <w:gridCol w:w="1200"/>
        <w:gridCol w:w="1000"/>
        <w:gridCol w:w="1100"/>
      </w:tblGrid>
      <w:tr>
        <w:tc>
          <w:tcPr>
            <w:gridSpan w:val="5"/>
            <w:shd w:fill="1A2B3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ACTIONS WE OWN  ·  Velocity GTM deliverables in flight</w:t>
            </w:r>
          </w:p>
        </w:tc>
      </w:tr>
      <w:tr>
        <w:trPr>
          <w:tblHeader/>
        </w:trPr>
        <w:tc>
          <w:tcPr>
            <w:tcW w:type="dxa" w:w="5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DUE</w:t>
            </w:r>
          </w:p>
        </w:tc>
        <w:tc>
          <w:tcPr>
            <w:tcW w:type="dxa" w:w="11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8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Eric Roth meeting prep — refreshed May 12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4-page narrative + intake form. Triangle ask: Zide + Borreca + Sutton. Day 7 status captured. Eric Roth confirmed as named Deal Lead on Empower per MidOcean portfolio page — strengthens warm path framing. Response-gated coin send-out added.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12 ✅</w:t>
            </w:r>
          </w:p>
        </w:tc>
        <w:tc>
          <w:tcPr>
            <w:tcW w:type="dxa" w:w="1100"/>
            <w:shd w:fill="DCFCE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3A"/>
                <w:sz w:val="17"/>
                <w:szCs w:val="17"/>
              </w:rPr>
              <w:t xml:space="preserve">✅  DONE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9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Joseph Trahan meeting prep — refreshed May 12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4-page narrative + intake form. Triangle ask: Abbott + White + Jones. Day 7 status captured. Lexington forward to Trahan unconfirmed. Response-gated 2-coin send-out added (Lexington + Trahan).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12 ✅</w:t>
            </w:r>
          </w:p>
        </w:tc>
        <w:tc>
          <w:tcPr>
            <w:tcW w:type="dxa" w:w="1100"/>
            <w:shd w:fill="DCFCE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3A"/>
                <w:sz w:val="17"/>
                <w:szCs w:val="17"/>
              </w:rPr>
              <w:t xml:space="preserve">✅  DONE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10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Jonathan Patton intake form — built May 12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New PE-side intake for ResiBrands path. ⭐⭐ Personal Bridge (Citadel + military-family). Triangle ask: Montgomery + Alarcon. Cap-table guardrails captured (avoid Codie triangulation). Recommended outreach gated on my conversation with Charles.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12 ✅</w:t>
            </w:r>
          </w:p>
        </w:tc>
        <w:tc>
          <w:tcPr>
            <w:tcW w:type="dxa" w:w="1100"/>
            <w:shd w:fill="DCFCE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3A"/>
                <w:sz w:val="17"/>
                <w:szCs w:val="17"/>
              </w:rPr>
              <w:t xml:space="preserve">✅  DONE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11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Whale Hunt Wave 1 readiness packages — consolidated v3.1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All three (Empower, Five Star, ResiBrands) consolidated to v3.1 May 12 with Whale Hunt activation, 3-phase action plans, response-gated coin send-outs, Network Partner Program (5 tiers). ResiBrands cap-table + brand list corrections propagated. Five Star Buying Group elevated to Phase 1 action.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12 ✅</w:t>
            </w:r>
          </w:p>
        </w:tc>
        <w:tc>
          <w:tcPr>
            <w:tcW w:type="dxa" w:w="1100"/>
            <w:shd w:fill="DCFCE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3A"/>
                <w:sz w:val="17"/>
                <w:szCs w:val="17"/>
              </w:rPr>
              <w:t xml:space="preserve">✅  DONE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12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Network Partner Program 5-tier offer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Franchisor-level value-creation offer added to all three Wave 1 packages: Preferred Pricing + Implementation Support + Data &amp; Analytics + Co-Marketing + Volume Rebate Structure. Zero franchisor cash outlay. Tier 2 houses the BELFOR/HOODZ 94% adoption methodology once Andrea delivers the playbook.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12 ✅</w:t>
            </w:r>
          </w:p>
        </w:tc>
        <w:tc>
          <w:tcPr>
            <w:tcW w:type="dxa" w:w="1100"/>
            <w:shd w:fill="DCFCE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3A"/>
                <w:sz w:val="17"/>
                <w:szCs w:val="17"/>
              </w:rPr>
              <w:t xml:space="preserve">✅  DONE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13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Five Star Buying Group vendor application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Submit preferred-vendor application via fivestarbuyinggroup.com (1,000+ members, $500M+ purchasing power, 150+ vendors). Independent path from PE warm path and operator engagement. Network Partner Program 5-tier structure as anchor framing.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 + Charles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14-18</w:t>
            </w:r>
          </w:p>
        </w:tc>
        <w:tc>
          <w:tcPr>
            <w:tcW w:type="dxa" w:w="1100"/>
            <w:shd w:fill="EAF3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7"/>
                <w:szCs w:val="17"/>
              </w:rPr>
              <w:t xml:space="preserve">🔵  NEW · QUEUED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14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Reactivation strategy — dormant + lost accounts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over from Apr 29 commitments. Need GPSI churned/lapsed account list from Andrea + Angie to scope Track 3 reactivation playbook. USA Insulation as catalyst.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 + GPSI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TBD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⏳  PENDING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15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Track 3 formalization — 20+ location single-brand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over. Glass Guru, A-1 Concrete, A All Animal Control as candidates. Lighter-touch motion for franchisors already in SB footprint organically.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TBD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⏳  PENDING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16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Financing impact — revenue &amp; profit lever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over. GreenSky-style franchisor financing as profit lever. Need internal GPSI contacts (finance, product, customer success) to quantify revenue uplift per financed job + adoption %. Standing talk track for all whale conversations.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 + GPSI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Owner TBD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⏳  PENDING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17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Government + public sector investigation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over. Federal fleet vehicle opportunity for GPSI + ServiceBridge. Build framing doc before any external outreach.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TBD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⏳  PENDING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18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ServiceTitan pricing investigation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Carried over. Jack at Blanton's claimed à la carte feature pricing — verify whether structural change or perception of existing model. Affects displacement narrative.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Michael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Ongoing</w:t>
            </w:r>
          </w:p>
        </w:tc>
        <w:tc>
          <w:tcPr>
            <w:tcW w:type="dxa" w:w="1100"/>
            <w:shd w:fill="FAF6E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🟡  IN PROGRESS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2"/>
          <w:insideV w:val="single" w:color="888888" w:sz="2"/>
        </w:tblBorders>
      </w:tblPr>
      <w:tblGrid>
        <w:gridCol w:w="500"/>
        <w:gridCol w:w="6200"/>
        <w:gridCol w:w="1200"/>
        <w:gridCol w:w="1000"/>
        <w:gridCol w:w="1100"/>
      </w:tblGrid>
      <w:tr>
        <w:tc>
          <w:tcPr>
            <w:gridSpan w:val="5"/>
            <w:shd w:fill="1A2B3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COMMITMENTS FROM ANDREA + GARRETT  ·  Inputs to our work</w:t>
            </w:r>
          </w:p>
        </w:tc>
      </w:tr>
      <w:tr>
        <w:trPr>
          <w:tblHeader/>
        </w:trPr>
        <w:tc>
          <w:tcPr>
            <w:tcW w:type="dxa" w:w="5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DUE</w:t>
            </w:r>
          </w:p>
        </w:tc>
        <w:tc>
          <w:tcPr>
            <w:tcW w:type="dxa" w:w="1100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A1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Jake Brown + Jason Perez — introduction (carry-over)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 to introduce me to Jake Brown and Jason Perez. Goal: deep SB client knowledge (won, lost, never-won) as input for Track 2 prioritization and historical SB context.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TBD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⏳  PENDING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A2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Internal systems access + intros (carry-over)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Slack channel proposed as anchor (I sent 4/28). Awaiting Andrea's direction on cadence + additional team members.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Week of 5/12</w:t>
            </w:r>
          </w:p>
        </w:tc>
        <w:tc>
          <w:tcPr>
            <w:tcW w:type="dxa" w:w="1100"/>
            <w:shd w:fill="FAF6E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🟡  IN PROGRESS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A3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ICP definition for ServiceBridge (carry-over)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 to share ICP directly or connect me to the right person who owns it. I then map Track 1/2/3 against the ICP.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Andrea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TBD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⏳  PENDING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A4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Alumni Crossover v19 connection check (new)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Garrett + Andrea review v19 doc for any 1st-degree, alma-mater, or company-history connections to all named DMU contacts across the three whales: Empower (Zide, Sutton, Lyons, Welter, Borreca + Eric Roth), Five Star (Abbott, Jones, White, Thomas + Trahan + Lexington Halbert), ResiBrands (Montgomery, Alarcon, Sanchez + Patton). Hits feed into contact intel tables.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Garrett + Andrea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May 14</w:t>
            </w:r>
          </w:p>
        </w:tc>
        <w:tc>
          <w:tcPr>
            <w:tcW w:type="dxa" w:w="1100"/>
            <w:shd w:fill="EAF3F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7"/>
                <w:szCs w:val="17"/>
              </w:rPr>
              <w:t xml:space="preserve">🔵  NEW · QUEUED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A5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[New commitment from May 13 meeting]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[Capture during meeting]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[___]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[___]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[___]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A6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[New commitment from May 13 meeting]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[Capture during meeting]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[___]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7"/>
                <w:szCs w:val="17"/>
              </w:rPr>
              <w:t xml:space="preserve">[___]</w:t>
            </w:r>
          </w:p>
        </w:tc>
        <w:tc>
          <w:tcPr>
            <w:tcW w:type="dxa" w:w="1100"/>
            <w:shd w:fill="F9F9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[___]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2"/>
          <w:insideV w:val="single" w:color="888888" w:sz="2"/>
        </w:tblBorders>
      </w:tblPr>
      <w:tblGrid>
        <w:gridCol w:w="100"/>
        <w:gridCol w:w="100"/>
      </w:tblGrid>
      <w:tr>
        <w:tc>
          <w:tcPr>
            <w:gridSpan w:val="2"/>
            <w:shd w:fill="1A2B3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MAY 13 MEETING AGENDA  ·  What to walk through together</w:t>
            </w:r>
          </w:p>
        </w:tc>
      </w:tr>
      <w:tr>
        <w:tc>
          <w:tcPr>
            <w:gridSpan w:val="2"/>
            <w:shd w:fill="F9F9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Conversation map — work through these in order:</w:t>
            </w:r>
          </w:p>
        </w:tc>
      </w:tr>
      <w:tr>
        <w:trPr>
          <w:tblHeader/>
        </w:trPr>
        <w:tc>
          <w:tcPr>
            <w:tcW w:type="pct" w:w="30%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TOPIC</w:t>
            </w:r>
          </w:p>
        </w:tc>
        <w:tc>
          <w:tcPr>
            <w:tcW w:type="pct" w:w="70%"/>
            <w:shd w:fill="EA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18"/>
                <w:szCs w:val="18"/>
              </w:rPr>
              <w:t xml:space="preserve">WHAT TO COVER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1.  PE meeting engagement setup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Eric Roth Day 7, Trahan Day 7, Patton pending. May 19 Day-14 nudge approach for each. Andrea + Garrett's networks — direct paths to accelerate? Capture names.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2.  Challenge coin client touch review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Coin design v18. Response-gated send-out strategy. 4-coin ResiBrands play with Patton hand-delivery ask. Team feedback before first coin ships.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3.  Pitchbook update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What's come back from Accel-KKR? Go / no-go. Not gating — credibility upgrade only. Capture status.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4.  My LinkedIn information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Andrea's confirmation on proposed profile title. Gates May 21 Empower LinkedIn campaign launch. Decision needed by May 19.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5.  BELFOR HOODZ + DUCTZ playbook (carry-over)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Status. Walkthrough date. Tier 2 (Implementation Support) proof point in all three readiness packages.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6.  Pitchbook follow-through (carry-over)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Cross-reference Ask #3. Trivium correction noted (resolved May 12).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7.  Warm-intro paths (carry-over)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Andrea + Garrett's networks — anyone with paths to Roth, Trahan, Patton, or franchisor DMUs? Capture names + paths.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8.  Alumni Crossover v19 connection check (new)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Garrett + Andrea review v19 for DMU connections. Due May 14.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0"/>
                <w:szCs w:val="20"/>
              </w:rPr>
              <w:t xml:space="preserve">9.  Open items + next cadence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Capture A5-A6. Carry-over items: reactivation strategy, Track 3 formalization, financing impact research, gov sector investigation. Confirm next meeting cadence.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gridSpan w:val="1"/>
            <w:shd w:fill="1A2B3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 SUMMARY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color w:val="0E7C3A"/>
          <w:sz w:val="20"/>
          <w:szCs w:val="20"/>
        </w:rPr>
        <w:t xml:space="preserve">Done since May 6: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5 — Eric Roth intake refresh (May 12), Joseph Trahan intake refresh (May 12), Jonathan Patton intake built (May 12), Whale Hunt Wave 1 readiness packages consolidated to v3.1 (May 12), Network Partner Program 5-tier offer added (May 12).  </w:t>
      </w: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In Progress: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2 — ServiceTitan pricing investigation (carry-over), Andrea internal systems access (carry-over).  </w:t>
      </w:r>
      <w:r>
        <w:rPr>
          <w:rFonts w:ascii="Calibri" w:cs="Calibri" w:eastAsia="Calibri" w:hAnsi="Calibri"/>
          <w:b/>
          <w:bCs/>
          <w:color w:val="1A2B3C"/>
          <w:sz w:val="20"/>
          <w:szCs w:val="20"/>
        </w:rPr>
        <w:t xml:space="preserve">Pending (our side):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5 — 4 carry-overs from Apr 29 (reactivation strategy, Track 3 formalization, financing impact research, gov sector investigation) plus Five Star Buying Group vendor application (May 14-18 window).  </w:t>
      </w:r>
      <w:r>
        <w:rPr>
          <w:rFonts w:ascii="Calibri" w:cs="Calibri" w:eastAsia="Calibri" w:hAnsi="Calibri"/>
          <w:b/>
          <w:bCs/>
          <w:color w:val="1A2B3C"/>
          <w:sz w:val="20"/>
          <w:szCs w:val="20"/>
        </w:rPr>
        <w:t xml:space="preserve">Pending (Andrea + Garrett):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7 — 3 carry-overs (Jake/Jason intro, ICP definition, internal access) plus 3 carry-over asks from May 6 (BELFOR playbook, Pitchbook follow-through, warm-intro paths) plus 1 new (Alumni Crossover v19 check). Plus this week's 4 live asks (PE engagement, coin review, Pitchbook update, my LinkedIn).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1A2B3C"/>
          <w:sz w:val="20"/>
          <w:szCs w:val="20"/>
        </w:rPr>
        <w:t xml:space="preserve">Today's strategic priority:  </w:t>
      </w: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Close the loop on last week's three asks (BELFOR, Pitchbook, warm-intro paths). Get Andrea's go-ahead on my LinkedIn profile title — gates the May 21 campaign launch. Align on May 19 Day-14 nudge approach for the three PE-side stalls. Team review of coin send-out strategy before first coin ships.</w:t>
      </w:r>
    </w:p>
    <w:p>
      <w:pPr>
        <w:spacing w:after="0" w:before="2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Michael M. Flynt Jr.  ·  May 12,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Tracker May 13 Meeting</dc:title>
  <dc:creator>Velocity GTM Co</dc:creator>
  <cp:lastModifiedBy>Un-named</cp:lastModifiedBy>
  <cp:revision>1</cp:revision>
  <dcterms:created xsi:type="dcterms:W3CDTF">2026-05-12T20:41:01.992Z</dcterms:created>
  <dcterms:modified xsi:type="dcterms:W3CDTF">2026-05-12T20:41:01.992Z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