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6B7280"/>
          <w:sz w:val="16"/>
        </w:rPr>
        <w:t>VELOCITY GTM CO  ·  ServiceBridge GTM  ·  Evive Brands  ·  Track 2 P2 #2</w:t>
      </w:r>
    </w:p>
    <w:p>
      <w:pPr>
        <w:spacing w:after="40"/>
      </w:pPr>
      <w:r>
        <w:rPr>
          <w:rFonts w:ascii="Calibri" w:hAnsi="Calibri"/>
          <w:b/>
          <w:color w:val="1A2B3C"/>
          <w:sz w:val="44"/>
        </w:rPr>
        <w:t>Maid Brigade</w:t>
      </w:r>
    </w:p>
    <w:p>
      <w:pPr>
        <w:spacing w:after="160"/>
      </w:pPr>
      <w:r>
        <w:rPr>
          <w:rFonts w:ascii="Calibri" w:hAnsi="Calibri"/>
          <w:b/>
          <w:color w:val="185FA5"/>
          <w:sz w:val="20"/>
        </w:rPr>
        <w:t>Score 95  ·  Tier T2  ·  Character: NEWEST EVIVE BRAND · CLEANING VERTICAL</w:t>
      </w:r>
    </w:p>
    <w:p>
      <w:pPr>
        <w:spacing w:after="160"/>
        <w:pBdr>
          <w:bottom w:val="single" w:sz="8" w:color="185FA5"/>
        </w:pBdr>
      </w:pPr>
    </w:p>
    <w:p>
      <w:pPr>
        <w:spacing w:after="160"/>
      </w:pPr>
      <w:r>
        <w:rPr>
          <w:rFonts w:ascii="Calibri" w:hAnsi="Calibri"/>
          <w:i/>
          <w:color w:val="374151"/>
          <w:sz w:val="20"/>
        </w:rPr>
        <w:t>Residential &amp; commercial cleaning · Founded 1979 · Acquired by Evive June 2025 · 280+ franchise locations · Raychel Leong-Sullins leadership retained · PUREcleaning® non-toxic system</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LOCATIONS</w:t>
            </w:r>
          </w:p>
          <w:p>
            <w:pPr>
              <w:spacing w:after="0"/>
            </w:pPr>
            <w:r>
              <w:rPr>
                <w:rFonts w:ascii="Calibri" w:hAnsi="Calibri"/>
                <w:b/>
                <w:color w:val="1A2B3C"/>
                <w:sz w:val="22"/>
              </w:rPr>
              <w:t>280</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TECHS / LOC</w:t>
            </w:r>
          </w:p>
          <w:p>
            <w:pPr>
              <w:spacing w:after="0"/>
            </w:pPr>
            <w:r>
              <w:rPr>
                <w:rFonts w:ascii="Calibri" w:hAnsi="Calibri"/>
                <w:b/>
                <w:color w:val="1A2B3C"/>
                <w:sz w:val="22"/>
              </w:rPr>
              <w:t>3</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TOTAL / ENGAGEABLE</w:t>
            </w:r>
          </w:p>
          <w:p>
            <w:pPr>
              <w:spacing w:after="0"/>
            </w:pPr>
            <w:r>
              <w:rPr>
                <w:rFonts w:ascii="Calibri" w:hAnsi="Calibri"/>
                <w:b/>
                <w:color w:val="1A2B3C"/>
                <w:sz w:val="22"/>
              </w:rPr>
              <w:t>840 / 840</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Y1 ARR @ 10%</w:t>
            </w:r>
          </w:p>
          <w:p>
            <w:pPr>
              <w:spacing w:after="0"/>
            </w:pPr>
            <w:r>
              <w:rPr>
                <w:rFonts w:ascii="Calibri" w:hAnsi="Calibri"/>
                <w:b/>
                <w:color w:val="1A2B3C"/>
                <w:sz w:val="22"/>
              </w:rPr>
              <w:t>$25K</w:t>
            </w:r>
          </w:p>
        </w:tc>
      </w:tr>
    </w:tbl>
    <w:p>
      <w:pPr>
        <w:spacing w:after="80"/>
      </w:pPr>
    </w:p>
    <w:tbl>
      <w:tblPr>
        <w:tblW w:type="auto" w:w="0"/>
        <w:jc w:val="center"/>
        <w:tblLayout w:type="autofit"/>
        <w:tblLook w:firstColumn="1" w:firstRow="1" w:lastColumn="0" w:lastRow="0" w:noHBand="0" w:noVBand="1" w:val="04A0"/>
      </w:tblPr>
      <w:tblGrid>
        <w:gridCol w:w="10080"/>
      </w:tblGrid>
      <w:tr>
        <w:tc>
          <w:tcPr>
            <w:tcW w:type="dxa" w:w="10080"/>
            <w:shd w:val="clear" w:color="auto" w:fill="FFF8E1"/>
            <w:tcBorders>
              <w:top w:val="single" w:sz="6" w:color="B8860B"/>
              <w:left w:val="single" w:sz="6" w:color="B8860B"/>
              <w:bottom w:val="single" w:sz="6" w:color="B8860B"/>
              <w:right w:val="single" w:sz="6" w:color="B8860B"/>
            </w:tcBorders>
          </w:tcPr>
          <w:p>
            <w:pPr>
              <w:spacing w:after="80"/>
            </w:pPr>
            <w:r>
              <w:rPr>
                <w:rFonts w:ascii="Calibri" w:hAnsi="Calibri"/>
                <w:b/>
                <w:color w:val="B8860B"/>
                <w:sz w:val="18"/>
              </w:rPr>
              <w:t>MY READ</w:t>
            </w:r>
          </w:p>
          <w:p>
            <w:pPr>
              <w:spacing w:after="120"/>
            </w:pPr>
            <w:r>
              <w:rPr>
                <w:rFonts w:ascii="Calibri" w:hAnsi="Calibri"/>
                <w:b/>
                <w:color w:val="1A2B3C"/>
                <w:sz w:val="24"/>
              </w:rPr>
              <w:t>Maid Brigade is the second wedge — fresh into Evive (June 2025), cleaning vertical proven HOODZ-pattern fit, hasn't standardized FSM yet. Cleanest greenfield in Evive after Brothers Gutters whitespace.</w:t>
            </w:r>
          </w:p>
          <w:p>
            <w:pPr>
              <w:spacing w:after="80" w:line="312" w:lineRule="auto"/>
            </w:pPr>
            <w:r>
              <w:rPr>
                <w:rFonts w:ascii="Calibri" w:hAnsi="Calibri"/>
                <w:color w:val="374151"/>
                <w:sz w:val="20"/>
              </w:rPr>
              <w:t>Maid Brigade was acquired by Evive in June 2025 — under one year inside the portfolio. Founded 1979, 280+ franchise locations across US and Canada, proprietary PUREcleaning® non-toxic system. Per Ryan Parsons' acquisition statement: 'Maid Brigade brings strong leadership under Raychel Leong-Sullins, a committed franchisee base and a stellar reputation earned over four decades.' Raychel was retained — operational continuity preserved.</w:t>
            </w:r>
          </w:p>
          <w:p>
            <w:pPr>
              <w:spacing w:after="80" w:line="312" w:lineRule="auto"/>
            </w:pPr>
            <w:r>
              <w:rPr>
                <w:rFonts w:ascii="Calibri" w:hAnsi="Calibri"/>
                <w:color w:val="374151"/>
                <w:sz w:val="20"/>
              </w:rPr>
              <w:t>From the ServiceBridge fit perspective, this is HOODZ-pattern textbook: cleaning vertical, recurring weekly/bi-weekly service routes, 2-3 person crews per truck, paper or basic SaaS tooling baseline. The vertical pattern is well-established — HOODZ at BELFOR reached 94% organic ServiceBridge adoption, TCA at Authority is HOODZ-analog scoring 63, Molly Maid at Neighborly is the largest engageable Neighborly brand by location count. Same operational characteristics, same fit profile.</w:t>
            </w:r>
          </w:p>
          <w:p>
            <w:pPr>
              <w:spacing w:after="80" w:line="312" w:lineRule="auto"/>
            </w:pPr>
            <w:r>
              <w:rPr>
                <w:rFonts w:ascii="Calibri" w:hAnsi="Calibri"/>
                <w:color w:val="374151"/>
                <w:sz w:val="20"/>
              </w:rPr>
              <w:t>The Evive-specific frame: Maid Brigade is the 'second wedge after Brothers Gutters' per Mike's notes. Once Brothers Gutters proof is closed out (43% → higher), Maid Brigade is the natural next conversation because (a) Ryan has authority across both brands, (b) Raychel hasn't standardized FSM yet, (c) lower switching cost since fresh acquisition. Recognized in Franchise 500 and as a top franchise for minorities, veterans and Hispanics.</w:t>
            </w:r>
          </w:p>
        </w:tc>
      </w:tr>
    </w:tbl>
    <w:p>
      <w:pPr>
        <w:spacing w:after="80"/>
      </w:pPr>
    </w:p>
    <w:p>
      <w:pPr>
        <w:spacing w:before="160" w:after="80"/>
      </w:pPr>
      <w:r>
        <w:rPr>
          <w:rFonts w:ascii="Calibri" w:hAnsi="Calibri"/>
          <w:b/>
          <w:color w:val="1A2B3C"/>
          <w:sz w:val="26"/>
        </w:rPr>
        <w:t>DIMENSION SCORING  ·  6 LENSES</w:t>
      </w:r>
    </w:p>
    <w:tbl>
      <w:tblPr>
        <w:tblW w:type="auto" w:w="0"/>
        <w:jc w:val="center"/>
        <w:tblLook w:firstColumn="1" w:firstRow="1" w:lastColumn="0" w:lastRow="0" w:noHBand="0" w:noVBand="1" w:val="04A0"/>
      </w:tblPr>
      <w:tblGrid>
        <w:gridCol w:w="3360"/>
        <w:gridCol w:w="3360"/>
        <w:gridCol w:w="3360"/>
      </w:tblGrid>
      <w:tr>
        <w:tc>
          <w:tcPr>
            <w:tcW w:type="dxa" w:w="2016"/>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DIMENSION</w:t>
            </w:r>
          </w:p>
        </w:tc>
        <w:tc>
          <w:tcPr>
            <w:tcW w:type="dxa" w:w="1296"/>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FLAG</w:t>
            </w:r>
          </w:p>
        </w:tc>
        <w:tc>
          <w:tcPr>
            <w:tcW w:type="dxa" w:w="6768"/>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NARRATIVE</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Greenfield Posture</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Not ST-mandated. Hasn't standardized FSM at brand level since Evive acquisition June 2025. Real greenfield. Lower switching cost since fresh acquisition.</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Persona Access</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Raychel Leong-Sullins (Brand leadership retained). Ryan Parsons CEO Evive (cross-brand authority). Brandi Kloostra SVP Marketing.</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Commercial / Consumer Mix</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Mixed — residential cleaning (primary) + commercial (light commercial, multi-family). 280+ locations US + Canada. PUREcleaning® brand differentiator.</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BPO in place</w:t>
            </w:r>
          </w:p>
        </w:tc>
        <w:tc>
          <w:tcPr>
            <w:tcW w:type="dxa" w:w="1296"/>
            <w:tcBorders>
              <w:top w:val="single" w:sz="4" w:color="CCCCCC"/>
              <w:left w:val="single" w:sz="4" w:color="CCCCCC"/>
              <w:bottom w:val="single" w:sz="4" w:color="CCCCCC"/>
              <w:right w:val="single" w:sz="4" w:color="CCCCCC"/>
            </w:tcBorders>
            <w:shd w:val="clear" w:color="auto" w:fill="FFF1E0"/>
          </w:tcPr>
          <w:p>
            <w:pPr>
              <w:spacing w:after="0"/>
              <w:jc w:val="center"/>
            </w:pPr>
            <w:r>
              <w:rPr>
                <w:rFonts w:ascii="Calibri" w:hAnsi="Calibri"/>
                <w:b/>
                <w:color w:val="C25E1A"/>
                <w:sz w:val="18"/>
              </w:rPr>
              <w:t>CAUTION</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Evive corporate provides marketing + franchise support. Brand-level dispatch BPO unclear. Validate.</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QuickBooks deployed</w:t>
            </w:r>
          </w:p>
        </w:tc>
        <w:tc>
          <w:tcPr>
            <w:tcW w:type="dxa" w:w="1296"/>
            <w:tcBorders>
              <w:top w:val="single" w:sz="4" w:color="CCCCCC"/>
              <w:left w:val="single" w:sz="4" w:color="CCCCCC"/>
              <w:bottom w:val="single" w:sz="4" w:color="CCCCCC"/>
              <w:right w:val="single" w:sz="4" w:color="CCCCCC"/>
            </w:tcBorders>
            <w:shd w:val="clear" w:color="auto" w:fill="F3F4F6"/>
          </w:tcPr>
          <w:p>
            <w:pPr>
              <w:spacing w:after="0"/>
              <w:jc w:val="center"/>
            </w:pPr>
            <w:r>
              <w:rPr>
                <w:rFonts w:ascii="Calibri" w:hAnsi="Calibri"/>
                <w:b/>
                <w:color w:val="6B7280"/>
                <w:sz w:val="18"/>
              </w:rPr>
              <w:t>UNKNOWN</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Cleaning franchisees = textbook QB users. Validate.</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Events attended</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Evive Brands Summit. ARCSI (Association of Residential Cleaning Services International). ISSA Show. Cleaning industry events.</w:t>
            </w:r>
          </w:p>
        </w:tc>
      </w:tr>
    </w:tbl>
    <w:p>
      <w:pPr>
        <w:spacing w:after="80"/>
      </w:pPr>
    </w:p>
    <w:p>
      <w:pPr>
        <w:spacing w:before="160" w:after="80"/>
      </w:pPr>
      <w:r>
        <w:rPr>
          <w:rFonts w:ascii="Calibri" w:hAnsi="Calibri"/>
          <w:b/>
          <w:color w:val="1A2B3C"/>
          <w:sz w:val="26"/>
        </w:rPr>
        <w:t>WHAT WE'D LEVERAGE  ·  WHAT WE'D CHALLENGE</w:t>
      </w:r>
    </w:p>
    <w:tbl>
      <w:tblPr>
        <w:tblW w:type="auto" w:w="0"/>
        <w:jc w:val="center"/>
        <w:tblLook w:firstColumn="1" w:firstRow="1" w:lastColumn="0" w:lastRow="0" w:noHBand="0" w:noVBand="1" w:val="04A0"/>
      </w:tblPr>
      <w:tblGrid>
        <w:gridCol w:w="5040"/>
        <w:gridCol w:w="5040"/>
      </w:tblGrid>
      <w:tr>
        <w:tc>
          <w:tcPr>
            <w:tcW w:type="dxa" w:w="5040"/>
            <w:shd w:val="clear" w:color="auto" w:fill="E8F4EE"/>
            <w:tcBorders>
              <w:top w:val="single" w:sz="6" w:color="2D6A4F"/>
              <w:left w:val="single" w:sz="6" w:color="2D6A4F"/>
              <w:bottom w:val="single" w:sz="6" w:color="2D6A4F"/>
              <w:right w:val="single" w:sz="6" w:color="2D6A4F"/>
            </w:tcBorders>
          </w:tcPr>
          <w:p>
            <w:pPr>
              <w:spacing w:after="0"/>
            </w:pPr>
            <w:r>
              <w:rPr>
                <w:rFonts w:ascii="Calibri" w:hAnsi="Calibri"/>
                <w:b/>
                <w:color w:val="2D6A4F"/>
                <w:sz w:val="20"/>
              </w:rPr>
              <w:t>WHAT WE'D LEVERAGE</w:t>
            </w:r>
          </w:p>
        </w:tc>
        <w:tc>
          <w:tcPr>
            <w:tcW w:type="dxa" w:w="5040"/>
            <w:shd w:val="clear" w:color="auto" w:fill="F4D9D9"/>
            <w:tcBorders>
              <w:top w:val="single" w:sz="6" w:color="A32D2D"/>
              <w:left w:val="single" w:sz="6" w:color="A32D2D"/>
              <w:bottom w:val="single" w:sz="6" w:color="A32D2D"/>
              <w:right w:val="single" w:sz="6" w:color="A32D2D"/>
            </w:tcBorders>
          </w:tcPr>
          <w:p>
            <w:pPr>
              <w:spacing w:after="0"/>
            </w:pPr>
            <w:r>
              <w:rPr>
                <w:rFonts w:ascii="Calibri" w:hAnsi="Calibri"/>
                <w:b/>
                <w:color w:val="A32D2D"/>
                <w:sz w:val="20"/>
              </w:rPr>
              <w:t>WHAT WE'D CHALLENGE</w:t>
            </w:r>
          </w:p>
        </w:tc>
      </w:tr>
      <w:tr>
        <w:tc>
          <w:tcPr>
            <w:tcW w:type="dxa" w:w="5040"/>
            <w:tcBorders>
              <w:top w:val="single" w:sz="4" w:color="2D6A4F"/>
              <w:left w:val="single" w:sz="4" w:color="2D6A4F"/>
              <w:bottom w:val="single" w:sz="4" w:color="2D6A4F"/>
              <w:right w:val="single" w:sz="4" w:color="2D6A4F"/>
            </w:tcBorders>
          </w:tcPr>
          <w:p>
            <w:pPr>
              <w:spacing w:after="0"/>
            </w:pPr>
            <w:r/>
          </w:p>
          <w:p>
            <w:pPr>
              <w:spacing w:after="60"/>
              <w:ind w:left="144"/>
            </w:pPr>
            <w:r>
              <w:rPr>
                <w:rFonts w:ascii="Calibri" w:hAnsi="Calibri"/>
                <w:b/>
                <w:color w:val="2D6A4F"/>
                <w:sz w:val="20"/>
              </w:rPr>
              <w:t xml:space="preserve">▸ </w:t>
            </w:r>
            <w:r>
              <w:rPr>
                <w:rFonts w:ascii="Calibri" w:hAnsi="Calibri"/>
                <w:color w:val="374151"/>
                <w:sz w:val="18"/>
              </w:rPr>
              <w:t>Fresh acquisition (June 2025). Hasn't standardized FSM yet — open posture.</w:t>
            </w:r>
          </w:p>
          <w:p>
            <w:pPr>
              <w:spacing w:after="60"/>
              <w:ind w:left="144"/>
            </w:pPr>
            <w:r>
              <w:rPr>
                <w:rFonts w:ascii="Calibri" w:hAnsi="Calibri"/>
                <w:b/>
                <w:color w:val="2D6A4F"/>
                <w:sz w:val="20"/>
              </w:rPr>
              <w:t xml:space="preserve">▸ </w:t>
            </w:r>
            <w:r>
              <w:rPr>
                <w:rFonts w:ascii="Calibri" w:hAnsi="Calibri"/>
                <w:color w:val="374151"/>
                <w:sz w:val="18"/>
              </w:rPr>
              <w:t>HOODZ-pattern fit. Cleaning vertical proven across multiple parents.</w:t>
            </w:r>
          </w:p>
          <w:p>
            <w:pPr>
              <w:spacing w:after="60"/>
              <w:ind w:left="144"/>
            </w:pPr>
            <w:r>
              <w:rPr>
                <w:rFonts w:ascii="Calibri" w:hAnsi="Calibri"/>
                <w:b/>
                <w:color w:val="2D6A4F"/>
                <w:sz w:val="20"/>
              </w:rPr>
              <w:t xml:space="preserve">▸ </w:t>
            </w:r>
            <w:r>
              <w:rPr>
                <w:rFonts w:ascii="Calibri" w:hAnsi="Calibri"/>
                <w:color w:val="374151"/>
                <w:sz w:val="18"/>
              </w:rPr>
              <w:t>Ryan Parsons cross-brand authority. Brothers Gutters proof point transfers to Maid Brigade pitch.</w:t>
            </w:r>
          </w:p>
          <w:p>
            <w:pPr>
              <w:spacing w:after="60"/>
              <w:ind w:left="144"/>
            </w:pPr>
            <w:r>
              <w:rPr>
                <w:rFonts w:ascii="Calibri" w:hAnsi="Calibri"/>
                <w:b/>
                <w:color w:val="2D6A4F"/>
                <w:sz w:val="20"/>
              </w:rPr>
              <w:t xml:space="preserve">▸ </w:t>
            </w:r>
            <w:r>
              <w:rPr>
                <w:rFonts w:ascii="Calibri" w:hAnsi="Calibri"/>
                <w:color w:val="374151"/>
                <w:sz w:val="18"/>
              </w:rPr>
              <w:t>Raychel Leong-Sullins leadership retained. Operational continuity = receptive evaluator.</w:t>
            </w:r>
          </w:p>
          <w:p>
            <w:pPr>
              <w:spacing w:after="60"/>
              <w:ind w:left="144"/>
            </w:pPr>
            <w:r>
              <w:rPr>
                <w:rFonts w:ascii="Calibri" w:hAnsi="Calibri"/>
                <w:b/>
                <w:color w:val="2D6A4F"/>
                <w:sz w:val="20"/>
              </w:rPr>
              <w:t xml:space="preserve">▸ </w:t>
            </w:r>
            <w:r>
              <w:rPr>
                <w:rFonts w:ascii="Calibri" w:hAnsi="Calibri"/>
                <w:color w:val="374151"/>
                <w:sz w:val="18"/>
              </w:rPr>
              <w:t>280+ locations. Largest individual brand opportunity in Evive after Brothers Gutters.</w:t>
            </w:r>
          </w:p>
          <w:p>
            <w:pPr>
              <w:spacing w:after="60"/>
              <w:ind w:left="144"/>
            </w:pPr>
            <w:r>
              <w:rPr>
                <w:rFonts w:ascii="Calibri" w:hAnsi="Calibri"/>
                <w:b/>
                <w:color w:val="2D6A4F"/>
                <w:sz w:val="20"/>
              </w:rPr>
              <w:t xml:space="preserve">▸ </w:t>
            </w:r>
            <w:r>
              <w:rPr>
                <w:rFonts w:ascii="Calibri" w:hAnsi="Calibri"/>
                <w:color w:val="374151"/>
                <w:sz w:val="18"/>
              </w:rPr>
              <w:t>PUREcleaning® brand differentiator. Premium positioning supports premium tooling investment.</w:t>
            </w:r>
          </w:p>
          <w:p>
            <w:pPr>
              <w:spacing w:after="60"/>
              <w:ind w:left="144"/>
            </w:pPr>
            <w:r>
              <w:rPr>
                <w:rFonts w:ascii="Calibri" w:hAnsi="Calibri"/>
                <w:b/>
                <w:color w:val="2D6A4F"/>
                <w:sz w:val="20"/>
              </w:rPr>
              <w:t xml:space="preserve">▸ </w:t>
            </w:r>
            <w:r>
              <w:rPr>
                <w:rFonts w:ascii="Calibri" w:hAnsi="Calibri"/>
                <w:color w:val="374151"/>
                <w:sz w:val="18"/>
              </w:rPr>
              <w:t>US + Canada footprint. International scale.</w:t>
            </w:r>
          </w:p>
        </w:tc>
        <w:tc>
          <w:tcPr>
            <w:tcW w:type="dxa" w:w="5040"/>
            <w:tcBorders>
              <w:top w:val="single" w:sz="4" w:color="A32D2D"/>
              <w:left w:val="single" w:sz="4" w:color="A32D2D"/>
              <w:bottom w:val="single" w:sz="4" w:color="A32D2D"/>
              <w:right w:val="single" w:sz="4" w:color="A32D2D"/>
            </w:tcBorders>
          </w:tcPr>
          <w:p>
            <w:pPr>
              <w:spacing w:after="0"/>
            </w:pPr>
            <w:r/>
          </w:p>
          <w:p>
            <w:pPr>
              <w:spacing w:after="60"/>
              <w:ind w:left="144"/>
            </w:pPr>
            <w:r>
              <w:rPr>
                <w:rFonts w:ascii="Calibri" w:hAnsi="Calibri"/>
                <w:b/>
                <w:color w:val="A32D2D"/>
                <w:sz w:val="20"/>
              </w:rPr>
              <w:t xml:space="preserve">▸ </w:t>
            </w:r>
            <w:r>
              <w:rPr>
                <w:rFonts w:ascii="Calibri" w:hAnsi="Calibri"/>
                <w:color w:val="374151"/>
                <w:sz w:val="18"/>
              </w:rPr>
              <w:t>Cleaning-specific SaaS competition. Swept, MaidsApp, Aspire, Service Autopilot.</w:t>
            </w:r>
          </w:p>
          <w:p>
            <w:pPr>
              <w:spacing w:after="60"/>
              <w:ind w:left="144"/>
            </w:pPr>
            <w:r>
              <w:rPr>
                <w:rFonts w:ascii="Calibri" w:hAnsi="Calibri"/>
                <w:b/>
                <w:color w:val="A32D2D"/>
                <w:sz w:val="20"/>
              </w:rPr>
              <w:t xml:space="preserve">▸ </w:t>
            </w:r>
            <w:r>
              <w:rPr>
                <w:rFonts w:ascii="Calibri" w:hAnsi="Calibri"/>
                <w:color w:val="374151"/>
                <w:sz w:val="18"/>
              </w:rPr>
              <w:t>Cleaning industry margins. Lower than trades — software ROI math harder.</w:t>
            </w:r>
          </w:p>
          <w:p>
            <w:pPr>
              <w:spacing w:after="60"/>
              <w:ind w:left="144"/>
            </w:pPr>
            <w:r>
              <w:rPr>
                <w:rFonts w:ascii="Calibri" w:hAnsi="Calibri"/>
                <w:b/>
                <w:color w:val="A32D2D"/>
                <w:sz w:val="20"/>
              </w:rPr>
              <w:t xml:space="preserve">▸ </w:t>
            </w:r>
            <w:r>
              <w:rPr>
                <w:rFonts w:ascii="Calibri" w:hAnsi="Calibri"/>
                <w:color w:val="374151"/>
                <w:sz w:val="18"/>
              </w:rPr>
              <w:t>Smaller individual operations. 3 techs/loc.</w:t>
            </w:r>
          </w:p>
          <w:p>
            <w:pPr>
              <w:spacing w:after="60"/>
              <w:ind w:left="144"/>
            </w:pPr>
            <w:r>
              <w:rPr>
                <w:rFonts w:ascii="Calibri" w:hAnsi="Calibri"/>
                <w:b/>
                <w:color w:val="A32D2D"/>
                <w:sz w:val="20"/>
              </w:rPr>
              <w:t xml:space="preserve">▸ </w:t>
            </w:r>
            <w:r>
              <w:rPr>
                <w:rFonts w:ascii="Calibri" w:hAnsi="Calibri"/>
                <w:color w:val="374151"/>
                <w:sz w:val="18"/>
              </w:rPr>
              <w:t>Light-commercial competition. Jan-Pro, ServiceMaster Commercial entrenched.</w:t>
            </w:r>
          </w:p>
          <w:p>
            <w:pPr>
              <w:spacing w:after="60"/>
              <w:ind w:left="144"/>
            </w:pPr>
            <w:r>
              <w:rPr>
                <w:rFonts w:ascii="Calibri" w:hAnsi="Calibri"/>
                <w:b/>
                <w:color w:val="A32D2D"/>
                <w:sz w:val="20"/>
              </w:rPr>
              <w:t xml:space="preserve">▸ </w:t>
            </w:r>
            <w:r>
              <w:rPr>
                <w:rFonts w:ascii="Calibri" w:hAnsi="Calibri"/>
                <w:color w:val="374151"/>
                <w:sz w:val="18"/>
              </w:rPr>
              <w:t>International (Canada) operations adds scope (currency, language, regulatory).</w:t>
            </w:r>
          </w:p>
        </w:tc>
      </w:tr>
    </w:tbl>
    <w:p>
      <w:pPr>
        <w:spacing w:after="80"/>
      </w:pPr>
    </w:p>
    <w:p>
      <w:pPr>
        <w:spacing w:before="160" w:after="80"/>
      </w:pPr>
      <w:r>
        <w:rPr>
          <w:rFonts w:ascii="Calibri" w:hAnsi="Calibri"/>
          <w:b/>
          <w:color w:val="1A2B3C"/>
          <w:sz w:val="26"/>
        </w:rPr>
        <w:t>PERSONA MAP</w:t>
      </w:r>
    </w:p>
    <w:tbl>
      <w:tblPr>
        <w:tblW w:type="auto" w:w="0"/>
        <w:jc w:val="center"/>
        <w:tblLook w:firstColumn="1" w:firstRow="1" w:lastColumn="0" w:lastRow="0" w:noHBand="0" w:noVBand="1" w:val="04A0"/>
      </w:tblPr>
      <w:tblGrid>
        <w:gridCol w:w="3360"/>
        <w:gridCol w:w="3360"/>
        <w:gridCol w:w="3360"/>
      </w:tblGrid>
      <w:tr>
        <w:tc>
          <w:tcPr>
            <w:tcW w:type="dxa" w:w="288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NAME &amp; ROLE</w:t>
            </w:r>
          </w:p>
        </w:tc>
        <w:tc>
          <w:tcPr>
            <w:tcW w:type="dxa" w:w="504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WHY THEY MATTER</w:t>
            </w:r>
          </w:p>
        </w:tc>
        <w:tc>
          <w:tcPr>
            <w:tcW w:type="dxa" w:w="216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PATH</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Raychel Leong-Sullins</w:t>
            </w:r>
          </w:p>
          <w:p>
            <w:pPr>
              <w:spacing w:after="0"/>
            </w:pPr>
            <w:r>
              <w:rPr>
                <w:rFonts w:ascii="Calibri" w:hAnsi="Calibri"/>
                <w:color w:val="6B7280"/>
                <w:sz w:val="16"/>
              </w:rPr>
              <w:t>Brand Leadership · Maid Brigade (retained at acquisition)</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Operational continuity post-acquisition. Operator language fluent. Direct evaluator.</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2D6A4F"/>
                <w:sz w:val="18"/>
              </w:rPr>
              <w:t>★ Brand Pres path</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Ryan Parsons</w:t>
            </w:r>
          </w:p>
          <w:p>
            <w:pPr>
              <w:spacing w:after="0"/>
            </w:pPr>
            <w:r>
              <w:rPr>
                <w:rFonts w:ascii="Calibri" w:hAnsi="Calibri"/>
                <w:color w:val="6B7280"/>
                <w:sz w:val="16"/>
              </w:rPr>
              <w:t>CEO · Evive Brands</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Cross-brand authority. Brothers Gutters proof point speaks here.</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2D6A4F"/>
                <w:sz w:val="18"/>
              </w:rPr>
              <w:t>★ CEO path</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Brandi Kloostra</w:t>
            </w:r>
          </w:p>
          <w:p>
            <w:pPr>
              <w:spacing w:after="0"/>
            </w:pPr>
            <w:r>
              <w:rPr>
                <w:rFonts w:ascii="Calibri" w:hAnsi="Calibri"/>
                <w:color w:val="6B7280"/>
                <w:sz w:val="16"/>
              </w:rPr>
              <w:t>SVP Marketing · Evive</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Cross-brand marketing voice.</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C25E1A"/>
                <w:sz w:val="18"/>
              </w:rPr>
              <w:t>LinkedIn primary</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Loren Schlachet</w:t>
            </w:r>
          </w:p>
          <w:p>
            <w:pPr>
              <w:spacing w:after="0"/>
            </w:pPr>
            <w:r>
              <w:rPr>
                <w:rFonts w:ascii="Calibri" w:hAnsi="Calibri"/>
                <w:color w:val="6B7280"/>
                <w:sz w:val="16"/>
              </w:rPr>
              <w:t>Managing Partner · Riverside</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PE-level coordination.</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C25E1A"/>
                <w:sz w:val="18"/>
              </w:rPr>
              <w:t>Via GPSI/Charles</w:t>
            </w:r>
          </w:p>
        </w:tc>
      </w:tr>
    </w:tbl>
    <w:p>
      <w:pPr>
        <w:spacing w:after="80"/>
      </w:pPr>
    </w:p>
    <w:p>
      <w:pPr>
        <w:spacing w:before="160" w:after="80"/>
      </w:pPr>
      <w:r>
        <w:rPr>
          <w:rFonts w:ascii="Calibri" w:hAnsi="Calibri"/>
          <w:b/>
          <w:color w:val="1A2B3C"/>
          <w:sz w:val="26"/>
        </w:rPr>
        <w:t>EVENTS TO ENGAGE</w:t>
      </w:r>
    </w:p>
    <w:p>
      <w:pPr>
        <w:spacing w:after="40"/>
        <w:ind w:left="144"/>
      </w:pPr>
      <w:r>
        <w:rPr>
          <w:rFonts w:ascii="Calibri" w:hAnsi="Calibri"/>
          <w:b/>
          <w:color w:val="185FA5"/>
          <w:sz w:val="18"/>
        </w:rPr>
        <w:t xml:space="preserve">Annual  ·  </w:t>
      </w:r>
      <w:r>
        <w:rPr>
          <w:rFonts w:ascii="Calibri" w:hAnsi="Calibri"/>
          <w:b/>
          <w:color w:val="1A2B3C"/>
          <w:sz w:val="20"/>
        </w:rPr>
        <w:t>Evive Brands Summit</w:t>
      </w:r>
    </w:p>
    <w:p>
      <w:pPr>
        <w:spacing w:after="80"/>
        <w:ind w:left="576"/>
      </w:pPr>
      <w:r>
        <w:rPr>
          <w:rFonts w:ascii="Calibri" w:hAnsi="Calibri"/>
          <w:color w:val="374151"/>
          <w:sz w:val="18"/>
        </w:rPr>
        <w:t>Single-room access.</w:t>
      </w:r>
    </w:p>
    <w:p>
      <w:pPr>
        <w:spacing w:after="40"/>
        <w:ind w:left="144"/>
      </w:pPr>
      <w:r>
        <w:rPr>
          <w:rFonts w:ascii="Calibri" w:hAnsi="Calibri"/>
          <w:b/>
          <w:color w:val="185FA5"/>
          <w:sz w:val="18"/>
        </w:rPr>
        <w:t xml:space="preserve">Annual (Nov)  ·  </w:t>
      </w:r>
      <w:r>
        <w:rPr>
          <w:rFonts w:ascii="Calibri" w:hAnsi="Calibri"/>
          <w:b/>
          <w:color w:val="1A2B3C"/>
          <w:sz w:val="20"/>
        </w:rPr>
        <w:t>ISSA Show</w:t>
      </w:r>
    </w:p>
    <w:p>
      <w:pPr>
        <w:spacing w:after="80"/>
        <w:ind w:left="576"/>
      </w:pPr>
      <w:r>
        <w:rPr>
          <w:rFonts w:ascii="Calibri" w:hAnsi="Calibri"/>
          <w:color w:val="374151"/>
          <w:sz w:val="18"/>
        </w:rPr>
        <w:t>Cleaning industry anchor event.</w:t>
      </w:r>
    </w:p>
    <w:p>
      <w:pPr>
        <w:spacing w:after="40"/>
        <w:ind w:left="144"/>
      </w:pPr>
      <w:r>
        <w:rPr>
          <w:rFonts w:ascii="Calibri" w:hAnsi="Calibri"/>
          <w:b/>
          <w:color w:val="185FA5"/>
          <w:sz w:val="18"/>
        </w:rPr>
        <w:t xml:space="preserve">Annual  ·  </w:t>
      </w:r>
      <w:r>
        <w:rPr>
          <w:rFonts w:ascii="Calibri" w:hAnsi="Calibri"/>
          <w:b/>
          <w:color w:val="1A2B3C"/>
          <w:sz w:val="20"/>
        </w:rPr>
        <w:t>ARCSI Convention</w:t>
      </w:r>
    </w:p>
    <w:p>
      <w:pPr>
        <w:spacing w:after="80"/>
        <w:ind w:left="576"/>
      </w:pPr>
      <w:r>
        <w:rPr>
          <w:rFonts w:ascii="Calibri" w:hAnsi="Calibri"/>
          <w:color w:val="374151"/>
          <w:sz w:val="18"/>
        </w:rPr>
        <w:t>Association of Residential Cleaning Services International.</w:t>
      </w:r>
    </w:p>
    <w:p>
      <w:pPr>
        <w:spacing w:before="160" w:after="80"/>
      </w:pPr>
      <w:r>
        <w:rPr>
          <w:rFonts w:ascii="Calibri" w:hAnsi="Calibri"/>
          <w:b/>
          <w:color w:val="6B7280"/>
          <w:sz w:val="22"/>
        </w:rPr>
        <w:t>HOW WE SCORED THIS</w:t>
      </w:r>
    </w:p>
    <w:p>
      <w:pPr>
        <w:spacing w:after="120" w:line="300" w:lineRule="auto"/>
      </w:pPr>
      <w:r>
        <w:rPr>
          <w:rFonts w:ascii="Calibri" w:hAnsi="Calibri"/>
          <w:i/>
          <w:color w:val="374151"/>
          <w:sz w:val="20"/>
        </w:rPr>
        <w:t>Score 95 (T2) per Track 2 v2 matrix. Drivers: HOODZ-pattern fit (cleaning vertical proven), fresh acquisition (June 2025) = open posture, Ryan Parsons cross-brand authority, Raychel Leong-Sullins retained, 280+ locations international footprint, PUREcleaning® premium positioning. Reduced by cleaning-specific SaaS competition, lower vertical margins. Evive parent +25 bonus.</w:t>
      </w:r>
    </w:p>
    <w:p>
      <w:pPr>
        <w:spacing w:before="160" w:after="80"/>
      </w:pPr>
      <w:r>
        <w:rPr>
          <w:rFonts w:ascii="Calibri" w:hAnsi="Calibri"/>
          <w:b/>
          <w:color w:val="1A2B3C"/>
          <w:sz w:val="22"/>
        </w:rPr>
        <w:t>SIGN-OFF &amp; NEXT STEPS</w:t>
      </w:r>
    </w:p>
    <w:tbl>
      <w:tblPr>
        <w:tblW w:type="auto" w:w="0"/>
        <w:jc w:val="center"/>
        <w:tblLook w:firstColumn="1" w:firstRow="1" w:lastColumn="0" w:lastRow="0" w:noHBand="0" w:noVBand="1" w:val="04A0"/>
      </w:tblPr>
      <w:tblGrid>
        <w:gridCol w:w="5040"/>
        <w:gridCol w:w="5040"/>
      </w:tblGrid>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Owner</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Mike Flynt · Velocity GTM Co LLC</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GPSI Coordination</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Andrea Rowan (GM ServiceBridge), Charles Layne (CEO), Garrett Else (CFO)</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Source of truth</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Track 2 P1+P2 Brand Priority Matrix v2 · CRM v15.6 · Evive Brands parent context</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Document version</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v1.0 · May 1, 2026 · ServiceBridge GTM Engagement</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